
<file path=[Content_Types].xml><?xml version="1.0" encoding="utf-8"?>
<Types xmlns="http://schemas.openxmlformats.org/package/2006/content-types">
  <Default Extension="xml" ContentType="application/xml"/>
  <Default Extension="png" ContentType="image/png"/>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480"/>
      </w:pPr>
    </w:p>
    <w:p>
      <w:pPr>
        <w:ind w:firstLine="880"/>
        <w:rPr>
          <w:sz w:val="44"/>
          <w:szCs w:val="44"/>
        </w:rPr>
      </w:pPr>
    </w:p>
    <w:p>
      <w:pPr>
        <w:ind w:firstLine="880"/>
        <w:rPr>
          <w:sz w:val="44"/>
          <w:szCs w:val="44"/>
        </w:rPr>
      </w:pPr>
    </w:p>
    <w:p>
      <w:pPr>
        <w:snapToGrid w:val="0"/>
        <w:ind w:firstLine="0" w:firstLineChars="0"/>
        <w:jc w:val="center"/>
        <w:rPr>
          <w:b/>
          <w:sz w:val="44"/>
          <w:szCs w:val="44"/>
        </w:rPr>
      </w:pPr>
      <w:bookmarkStart w:id="0" w:name="_Toc102637498"/>
      <w:bookmarkStart w:id="1" w:name="_Toc102977565"/>
      <w:bookmarkStart w:id="2" w:name="_Toc103676787"/>
      <w:bookmarkStart w:id="3" w:name="_Toc145409130"/>
      <w:bookmarkStart w:id="4" w:name="_Toc103667747"/>
      <w:bookmarkStart w:id="5" w:name="_Toc103678023"/>
      <w:bookmarkStart w:id="6" w:name="_Toc142547986"/>
      <w:bookmarkStart w:id="7" w:name="_Hlk142547860"/>
      <w:r>
        <w:rPr>
          <w:rFonts w:hint="eastAsia"/>
          <w:b/>
          <w:sz w:val="44"/>
          <w:szCs w:val="44"/>
        </w:rPr>
        <w:t>高州市祥富投资有限公司新建加油站项目</w:t>
      </w:r>
    </w:p>
    <w:p>
      <w:pPr>
        <w:snapToGrid w:val="0"/>
        <w:ind w:firstLine="0" w:firstLineChars="0"/>
        <w:jc w:val="center"/>
        <w:rPr>
          <w:b/>
          <w:sz w:val="44"/>
          <w:szCs w:val="44"/>
        </w:rPr>
      </w:pPr>
      <w:r>
        <w:rPr>
          <w:b/>
          <w:sz w:val="44"/>
          <w:szCs w:val="44"/>
        </w:rPr>
        <w:t>竣工环保验收监测报告</w:t>
      </w:r>
      <w:bookmarkEnd w:id="0"/>
      <w:bookmarkEnd w:id="1"/>
      <w:bookmarkEnd w:id="2"/>
      <w:bookmarkEnd w:id="3"/>
      <w:bookmarkEnd w:id="4"/>
      <w:bookmarkEnd w:id="5"/>
      <w:bookmarkEnd w:id="6"/>
    </w:p>
    <w:bookmarkEnd w:id="7"/>
    <w:p>
      <w:pPr>
        <w:ind w:firstLine="480"/>
      </w:pPr>
    </w:p>
    <w:p>
      <w:pPr>
        <w:ind w:firstLine="480"/>
      </w:pPr>
    </w:p>
    <w:p>
      <w:pPr>
        <w:ind w:firstLine="480"/>
      </w:pPr>
    </w:p>
    <w:p>
      <w:pPr>
        <w:ind w:firstLine="480"/>
      </w:pPr>
    </w:p>
    <w:p>
      <w:pPr>
        <w:ind w:firstLine="480"/>
      </w:pPr>
    </w:p>
    <w:p>
      <w:pPr>
        <w:ind w:firstLine="480"/>
      </w:pPr>
    </w:p>
    <w:p>
      <w:pPr>
        <w:ind w:firstLine="480"/>
      </w:pPr>
    </w:p>
    <w:p>
      <w:pPr>
        <w:ind w:firstLine="480"/>
      </w:pPr>
    </w:p>
    <w:p>
      <w:pPr>
        <w:ind w:firstLine="480"/>
      </w:pPr>
    </w:p>
    <w:p>
      <w:pPr>
        <w:ind w:firstLine="480"/>
      </w:pPr>
    </w:p>
    <w:p>
      <w:pPr>
        <w:ind w:firstLine="480"/>
      </w:pPr>
    </w:p>
    <w:p>
      <w:pPr>
        <w:spacing w:line="480" w:lineRule="auto"/>
        <w:ind w:firstLine="562"/>
        <w:jc w:val="center"/>
        <w:rPr>
          <w:b/>
          <w:sz w:val="28"/>
          <w:szCs w:val="28"/>
        </w:rPr>
      </w:pPr>
      <w:r>
        <w:rPr>
          <w:b/>
          <w:sz w:val="28"/>
          <w:szCs w:val="28"/>
        </w:rPr>
        <w:t>建设单位：</w:t>
      </w:r>
      <w:bookmarkStart w:id="8" w:name="_Hlk163569595"/>
      <w:r>
        <w:rPr>
          <w:rFonts w:hint="eastAsia"/>
          <w:b/>
          <w:sz w:val="28"/>
          <w:szCs w:val="28"/>
        </w:rPr>
        <w:t>高州市祥富投资有限公司</w:t>
      </w:r>
    </w:p>
    <w:bookmarkEnd w:id="8"/>
    <w:p>
      <w:pPr>
        <w:spacing w:line="480" w:lineRule="auto"/>
        <w:ind w:firstLine="562"/>
        <w:jc w:val="center"/>
        <w:rPr>
          <w:b/>
          <w:sz w:val="28"/>
          <w:szCs w:val="28"/>
        </w:rPr>
      </w:pPr>
      <w:r>
        <w:rPr>
          <w:b/>
          <w:sz w:val="28"/>
          <w:szCs w:val="28"/>
        </w:rPr>
        <w:t>编制单位：</w:t>
      </w:r>
      <w:r>
        <w:rPr>
          <w:rFonts w:hint="eastAsia"/>
          <w:b/>
          <w:sz w:val="28"/>
          <w:szCs w:val="28"/>
        </w:rPr>
        <w:t>高州市祥富投资有限公司</w:t>
      </w:r>
    </w:p>
    <w:p>
      <w:pPr>
        <w:ind w:firstLine="0" w:firstLineChars="0"/>
        <w:jc w:val="center"/>
        <w:rPr>
          <w:b/>
          <w:sz w:val="28"/>
        </w:rPr>
      </w:pPr>
    </w:p>
    <w:p>
      <w:pPr>
        <w:ind w:firstLine="0" w:firstLineChars="0"/>
        <w:jc w:val="center"/>
        <w:rPr>
          <w:b/>
          <w:sz w:val="28"/>
        </w:rPr>
      </w:pPr>
    </w:p>
    <w:p>
      <w:pPr>
        <w:spacing w:line="480" w:lineRule="auto"/>
        <w:ind w:firstLine="562"/>
        <w:jc w:val="center"/>
        <w:rPr>
          <w:rFonts w:hint="eastAsia"/>
          <w:b/>
          <w:sz w:val="28"/>
          <w:szCs w:val="28"/>
        </w:rPr>
      </w:pPr>
    </w:p>
    <w:p>
      <w:pPr>
        <w:spacing w:line="480" w:lineRule="auto"/>
        <w:ind w:firstLine="562"/>
        <w:jc w:val="center"/>
        <w:rPr>
          <w:b/>
          <w:color w:val="7030A0"/>
          <w:sz w:val="28"/>
        </w:rPr>
      </w:pPr>
      <w:r>
        <w:rPr>
          <w:rFonts w:hint="eastAsia"/>
          <w:b/>
          <w:sz w:val="28"/>
          <w:szCs w:val="28"/>
        </w:rPr>
        <w:t>二〇二四年十二月</w:t>
      </w:r>
    </w:p>
    <w:p>
      <w:pPr>
        <w:widowControl/>
        <w:spacing w:line="240" w:lineRule="auto"/>
        <w:ind w:firstLine="0" w:firstLineChars="0"/>
        <w:jc w:val="left"/>
      </w:pPr>
      <w:r>
        <w:br w:type="page"/>
      </w:r>
    </w:p>
    <w:p>
      <w:pPr>
        <w:ind w:firstLine="562"/>
        <w:rPr>
          <w:sz w:val="32"/>
        </w:rPr>
      </w:pPr>
      <w:r>
        <w:rPr>
          <w:b/>
          <w:sz w:val="28"/>
        </w:rPr>
        <w:t>建设单位法人代表:</w:t>
      </w:r>
      <w:r>
        <w:rPr>
          <w:sz w:val="28"/>
        </w:rPr>
        <w:tab/>
      </w:r>
      <w:r>
        <w:rPr>
          <w:sz w:val="28"/>
        </w:rPr>
        <w:t xml:space="preserve"> </w:t>
      </w:r>
      <w:r>
        <w:rPr>
          <w:rFonts w:hint="eastAsia"/>
          <w:b/>
          <w:sz w:val="28"/>
          <w:lang w:val="en-US" w:eastAsia="zh-CN"/>
        </w:rPr>
        <w:t xml:space="preserve">卢启民 </w:t>
      </w:r>
      <w:r>
        <w:rPr>
          <w:sz w:val="28"/>
        </w:rPr>
        <w:t xml:space="preserve"> （签字）</w:t>
      </w:r>
    </w:p>
    <w:p>
      <w:pPr>
        <w:ind w:firstLine="562"/>
        <w:rPr>
          <w:sz w:val="28"/>
        </w:rPr>
      </w:pPr>
      <w:r>
        <w:rPr>
          <w:b/>
          <w:sz w:val="28"/>
        </w:rPr>
        <w:t>编制单位法人代表:</w:t>
      </w:r>
      <w:r>
        <w:rPr>
          <w:sz w:val="28"/>
        </w:rPr>
        <w:tab/>
      </w:r>
      <w:r>
        <w:rPr>
          <w:sz w:val="28"/>
        </w:rPr>
        <w:t xml:space="preserve"> </w:t>
      </w:r>
      <w:r>
        <w:rPr>
          <w:rFonts w:hint="eastAsia"/>
          <w:b/>
          <w:sz w:val="28"/>
          <w:lang w:val="en-US" w:eastAsia="zh-CN"/>
        </w:rPr>
        <w:t xml:space="preserve">卢启民 </w:t>
      </w:r>
      <w:r>
        <w:rPr>
          <w:sz w:val="28"/>
        </w:rPr>
        <w:t xml:space="preserve"> （签字）</w:t>
      </w:r>
    </w:p>
    <w:p>
      <w:pPr>
        <w:ind w:firstLine="562"/>
        <w:rPr>
          <w:rFonts w:hint="default" w:eastAsia="宋体"/>
          <w:b/>
          <w:sz w:val="28"/>
          <w:lang w:val="en-US" w:eastAsia="zh-CN"/>
        </w:rPr>
      </w:pPr>
      <w:r>
        <w:rPr>
          <w:b/>
          <w:sz w:val="28"/>
        </w:rPr>
        <w:t xml:space="preserve">项  目  负  责  人:  </w:t>
      </w:r>
      <w:r>
        <w:rPr>
          <w:rFonts w:hint="eastAsia"/>
          <w:b/>
          <w:sz w:val="28"/>
          <w:lang w:val="en-US" w:eastAsia="zh-CN"/>
        </w:rPr>
        <w:t>梁向阳</w:t>
      </w:r>
    </w:p>
    <w:p>
      <w:pPr>
        <w:ind w:firstLine="562"/>
        <w:rPr>
          <w:rFonts w:hint="default" w:eastAsia="宋体"/>
          <w:b/>
          <w:sz w:val="28"/>
          <w:lang w:val="en-US" w:eastAsia="zh-CN"/>
        </w:rPr>
      </w:pPr>
      <w:r>
        <w:rPr>
          <w:b/>
          <w:sz w:val="28"/>
        </w:rPr>
        <w:t xml:space="preserve">报  告  编  写  人： </w:t>
      </w:r>
      <w:r>
        <w:rPr>
          <w:rFonts w:hint="eastAsia"/>
          <w:b/>
          <w:sz w:val="28"/>
          <w:lang w:val="en-US" w:eastAsia="zh-CN"/>
        </w:rPr>
        <w:t>陈舒豪</w:t>
      </w:r>
    </w:p>
    <w:p>
      <w:pPr>
        <w:ind w:firstLine="562"/>
        <w:rPr>
          <w:b/>
          <w:sz w:val="28"/>
        </w:rPr>
      </w:pPr>
    </w:p>
    <w:p>
      <w:pPr>
        <w:pStyle w:val="42"/>
        <w:ind w:left="1522" w:firstLine="562"/>
        <w:rPr>
          <w:rFonts w:ascii="Times New Roman" w:cs="Times New Roman"/>
          <w:b/>
          <w:color w:val="auto"/>
          <w:sz w:val="28"/>
        </w:rPr>
      </w:pPr>
    </w:p>
    <w:p>
      <w:pPr>
        <w:pStyle w:val="42"/>
        <w:ind w:left="1522" w:firstLine="562"/>
        <w:rPr>
          <w:rFonts w:ascii="Times New Roman" w:cs="Times New Roman"/>
          <w:b/>
          <w:color w:val="auto"/>
          <w:sz w:val="28"/>
        </w:rPr>
      </w:pPr>
    </w:p>
    <w:p>
      <w:pPr>
        <w:pStyle w:val="42"/>
        <w:ind w:left="1522" w:firstLine="562"/>
        <w:rPr>
          <w:rFonts w:ascii="Times New Roman" w:cs="Times New Roman"/>
          <w:b/>
          <w:color w:val="auto"/>
          <w:sz w:val="28"/>
        </w:rPr>
      </w:pPr>
    </w:p>
    <w:p>
      <w:pPr>
        <w:pStyle w:val="42"/>
        <w:ind w:left="1522" w:firstLine="562"/>
        <w:rPr>
          <w:rFonts w:ascii="Times New Roman" w:cs="Times New Roman"/>
          <w:b/>
          <w:color w:val="auto"/>
          <w:sz w:val="28"/>
        </w:rPr>
      </w:pPr>
    </w:p>
    <w:p>
      <w:pPr>
        <w:pStyle w:val="42"/>
        <w:ind w:left="1522" w:firstLine="562"/>
        <w:rPr>
          <w:rFonts w:ascii="Times New Roman" w:cs="Times New Roman"/>
          <w:b/>
          <w:color w:val="auto"/>
          <w:sz w:val="28"/>
        </w:rPr>
      </w:pPr>
    </w:p>
    <w:p>
      <w:pPr>
        <w:pStyle w:val="42"/>
        <w:ind w:left="1520" w:firstLine="480"/>
        <w:rPr>
          <w:rFonts w:ascii="Times New Roman" w:cs="Times New Roman"/>
          <w:color w:val="auto"/>
        </w:rPr>
      </w:pPr>
    </w:p>
    <w:p>
      <w:pPr>
        <w:ind w:firstLine="480"/>
      </w:pPr>
      <w:r>
        <w:t>建设单位：</w:t>
      </w:r>
      <w:r>
        <w:rPr>
          <w:rFonts w:hint="eastAsia"/>
          <w:u w:val="single"/>
        </w:rPr>
        <w:t>高州市祥富投资有限公司</w:t>
      </w:r>
      <w:r>
        <w:t>（盖章）</w:t>
      </w:r>
    </w:p>
    <w:p>
      <w:pPr>
        <w:ind w:firstLine="480"/>
        <w:rPr>
          <w:kern w:val="0"/>
        </w:rPr>
      </w:pPr>
      <w:r>
        <w:t>电话：</w:t>
      </w:r>
      <w:r>
        <w:rPr>
          <w:kern w:val="0"/>
        </w:rPr>
        <w:t>18929715138</w:t>
      </w:r>
    </w:p>
    <w:p>
      <w:pPr>
        <w:ind w:firstLine="480"/>
      </w:pPr>
      <w:r>
        <w:t>传真：/</w:t>
      </w:r>
    </w:p>
    <w:p>
      <w:pPr>
        <w:ind w:firstLine="480"/>
      </w:pPr>
      <w:r>
        <w:t>邮编：525000</w:t>
      </w:r>
    </w:p>
    <w:p>
      <w:pPr>
        <w:ind w:firstLine="480"/>
      </w:pPr>
      <w:r>
        <w:t>地址：</w:t>
      </w:r>
      <w:r>
        <w:rPr>
          <w:rFonts w:hint="eastAsia"/>
        </w:rPr>
        <w:t>高州市天子路实验学校旁李均友屋首层</w:t>
      </w:r>
    </w:p>
    <w:p>
      <w:pPr>
        <w:pStyle w:val="42"/>
        <w:spacing w:line="360" w:lineRule="auto"/>
        <w:ind w:firstLine="480"/>
        <w:rPr>
          <w:rFonts w:ascii="Times New Roman"/>
          <w:color w:val="auto"/>
        </w:rPr>
      </w:pPr>
    </w:p>
    <w:p>
      <w:pPr>
        <w:pStyle w:val="42"/>
        <w:spacing w:line="360" w:lineRule="auto"/>
        <w:ind w:firstLine="480"/>
        <w:rPr>
          <w:rFonts w:ascii="Times New Roman"/>
          <w:color w:val="auto"/>
        </w:rPr>
      </w:pPr>
    </w:p>
    <w:p>
      <w:pPr>
        <w:ind w:firstLine="480"/>
      </w:pPr>
      <w:r>
        <w:rPr>
          <w:rFonts w:hint="eastAsia"/>
        </w:rPr>
        <w:t>编制</w:t>
      </w:r>
      <w:r>
        <w:t>单位：</w:t>
      </w:r>
      <w:r>
        <w:rPr>
          <w:rFonts w:hint="eastAsia"/>
          <w:u w:val="single"/>
        </w:rPr>
        <w:t>高州市祥富投资有限公司</w:t>
      </w:r>
      <w:r>
        <w:t>（盖章）</w:t>
      </w:r>
    </w:p>
    <w:p>
      <w:pPr>
        <w:ind w:firstLine="480"/>
        <w:rPr>
          <w:kern w:val="0"/>
        </w:rPr>
      </w:pPr>
      <w:r>
        <w:t>电话：</w:t>
      </w:r>
      <w:r>
        <w:rPr>
          <w:kern w:val="0"/>
        </w:rPr>
        <w:t>18929715138</w:t>
      </w:r>
    </w:p>
    <w:p>
      <w:pPr>
        <w:ind w:firstLine="480"/>
      </w:pPr>
      <w:r>
        <w:t>传真：/</w:t>
      </w:r>
    </w:p>
    <w:p>
      <w:pPr>
        <w:ind w:firstLine="480"/>
      </w:pPr>
      <w:r>
        <w:t>邮编：525000</w:t>
      </w:r>
    </w:p>
    <w:p>
      <w:pPr>
        <w:ind w:firstLine="480"/>
      </w:pPr>
      <w:r>
        <w:t>地址：</w:t>
      </w:r>
      <w:r>
        <w:rPr>
          <w:rFonts w:hint="eastAsia"/>
        </w:rPr>
        <w:t>高州市天子路实验学校旁李均友屋首层</w:t>
      </w:r>
    </w:p>
    <w:p>
      <w:pPr>
        <w:ind w:firstLine="480"/>
      </w:pPr>
    </w:p>
    <w:p>
      <w:pPr>
        <w:ind w:firstLine="480"/>
        <w:sectPr>
          <w:headerReference r:id="rId5" w:type="first"/>
          <w:footerReference r:id="rId8" w:type="first"/>
          <w:headerReference r:id="rId3" w:type="default"/>
          <w:footerReference r:id="rId6" w:type="default"/>
          <w:headerReference r:id="rId4" w:type="even"/>
          <w:footerReference r:id="rId7" w:type="even"/>
          <w:pgSz w:w="11906" w:h="16838"/>
          <w:pgMar w:top="1418" w:right="1418" w:bottom="1418" w:left="1418" w:header="851" w:footer="992" w:gutter="0"/>
          <w:cols w:space="425" w:num="1"/>
          <w:docGrid w:type="lines" w:linePitch="312" w:charSpace="0"/>
        </w:sectPr>
      </w:pPr>
    </w:p>
    <w:sdt>
      <w:sdtPr>
        <w:rPr>
          <w:rFonts w:ascii="宋体" w:hAnsi="宋体" w:eastAsia="宋体" w:cstheme="minorBidi"/>
          <w:color w:val="auto"/>
          <w:kern w:val="2"/>
          <w:sz w:val="24"/>
          <w:szCs w:val="22"/>
          <w:lang w:val="zh-CN"/>
        </w:rPr>
        <w:id w:val="-882712005"/>
        <w:docPartObj>
          <w:docPartGallery w:val="Table of Contents"/>
          <w:docPartUnique/>
        </w:docPartObj>
      </w:sdtPr>
      <w:sdtEndPr>
        <w:rPr>
          <w:rFonts w:ascii="Times New Roman" w:hAnsi="Times New Roman" w:eastAsia="宋体" w:cstheme="minorBidi"/>
          <w:b/>
          <w:bCs/>
          <w:color w:val="auto"/>
          <w:kern w:val="2"/>
          <w:sz w:val="24"/>
          <w:szCs w:val="22"/>
          <w:lang w:val="zh-CN"/>
        </w:rPr>
      </w:sdtEndPr>
      <w:sdtContent>
        <w:p>
          <w:pPr>
            <w:pStyle w:val="37"/>
            <w:spacing w:before="0" w:line="288" w:lineRule="auto"/>
            <w:ind w:firstLine="482"/>
            <w:jc w:val="center"/>
            <w:rPr>
              <w:rFonts w:hint="eastAsia" w:ascii="宋体" w:hAnsi="宋体" w:eastAsia="宋体"/>
              <w:b/>
              <w:color w:val="auto"/>
            </w:rPr>
          </w:pPr>
          <w:r>
            <w:rPr>
              <w:rFonts w:ascii="宋体" w:hAnsi="宋体" w:eastAsia="宋体"/>
              <w:b/>
              <w:color w:val="auto"/>
              <w:lang w:val="zh-CN"/>
            </w:rPr>
            <w:t>目</w:t>
          </w:r>
          <w:r>
            <w:rPr>
              <w:rFonts w:hint="eastAsia" w:ascii="宋体" w:hAnsi="宋体" w:eastAsia="宋体"/>
              <w:b/>
              <w:color w:val="auto"/>
              <w:lang w:val="zh-CN"/>
            </w:rPr>
            <w:t xml:space="preserve"> </w:t>
          </w:r>
          <w:r>
            <w:rPr>
              <w:rFonts w:ascii="宋体" w:hAnsi="宋体" w:eastAsia="宋体"/>
              <w:b/>
              <w:color w:val="auto"/>
              <w:lang w:val="zh-CN"/>
            </w:rPr>
            <w:t>录</w:t>
          </w:r>
        </w:p>
        <w:p>
          <w:pPr>
            <w:pStyle w:val="13"/>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
              <w:bCs/>
              <w:sz w:val="21"/>
              <w:szCs w:val="21"/>
              <w:lang w:val="zh-CN"/>
            </w:rPr>
            <w:fldChar w:fldCharType="begin"/>
          </w:r>
          <w:r>
            <w:rPr>
              <w:b/>
              <w:bCs/>
              <w:sz w:val="21"/>
              <w:szCs w:val="21"/>
              <w:lang w:val="zh-CN"/>
            </w:rPr>
            <w:instrText xml:space="preserve"> TOC \o "1-3" \h \z \u </w:instrText>
          </w:r>
          <w:r>
            <w:rPr>
              <w:b/>
              <w:bCs/>
              <w:sz w:val="21"/>
              <w:szCs w:val="21"/>
              <w:lang w:val="zh-CN"/>
            </w:rPr>
            <w:fldChar w:fldCharType="separate"/>
          </w:r>
          <w:r>
            <w:rPr>
              <w:bCs/>
              <w:sz w:val="21"/>
              <w:szCs w:val="21"/>
              <w:lang w:val="zh-CN"/>
            </w:rPr>
            <w:fldChar w:fldCharType="begin"/>
          </w:r>
          <w:r>
            <w:rPr>
              <w:bCs/>
              <w:sz w:val="21"/>
              <w:szCs w:val="21"/>
              <w:lang w:val="zh-CN"/>
            </w:rPr>
            <w:instrText xml:space="preserve"> HYPERLINK \l _Toc13684 </w:instrText>
          </w:r>
          <w:r>
            <w:rPr>
              <w:bCs/>
              <w:sz w:val="21"/>
              <w:szCs w:val="21"/>
              <w:lang w:val="zh-CN"/>
            </w:rPr>
            <w:fldChar w:fldCharType="separate"/>
          </w:r>
          <w:r>
            <w:rPr>
              <w:rFonts w:hint="eastAsia"/>
              <w:sz w:val="21"/>
              <w:szCs w:val="21"/>
            </w:rPr>
            <w:t>1 项目概况</w:t>
          </w:r>
          <w:r>
            <w:rPr>
              <w:sz w:val="21"/>
              <w:szCs w:val="21"/>
            </w:rPr>
            <w:tab/>
          </w:r>
          <w:r>
            <w:rPr>
              <w:sz w:val="21"/>
              <w:szCs w:val="21"/>
            </w:rPr>
            <w:fldChar w:fldCharType="begin"/>
          </w:r>
          <w:r>
            <w:rPr>
              <w:sz w:val="21"/>
              <w:szCs w:val="21"/>
            </w:rPr>
            <w:instrText xml:space="preserve"> PAGEREF _Toc13684 \h </w:instrText>
          </w:r>
          <w:r>
            <w:rPr>
              <w:sz w:val="21"/>
              <w:szCs w:val="21"/>
            </w:rPr>
            <w:fldChar w:fldCharType="separate"/>
          </w:r>
          <w:r>
            <w:rPr>
              <w:sz w:val="21"/>
              <w:szCs w:val="21"/>
            </w:rPr>
            <w:t>1</w:t>
          </w:r>
          <w:r>
            <w:rPr>
              <w:sz w:val="21"/>
              <w:szCs w:val="21"/>
            </w:rPr>
            <w:fldChar w:fldCharType="end"/>
          </w:r>
          <w:r>
            <w:rPr>
              <w:bCs/>
              <w:sz w:val="21"/>
              <w:szCs w:val="21"/>
              <w:lang w:val="zh-CN"/>
            </w:rPr>
            <w:fldChar w:fldCharType="end"/>
          </w:r>
        </w:p>
        <w:p>
          <w:pPr>
            <w:pStyle w:val="13"/>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_Toc14303 </w:instrText>
          </w:r>
          <w:r>
            <w:rPr>
              <w:bCs/>
              <w:sz w:val="21"/>
              <w:szCs w:val="21"/>
              <w:lang w:val="zh-CN"/>
            </w:rPr>
            <w:fldChar w:fldCharType="separate"/>
          </w:r>
          <w:r>
            <w:rPr>
              <w:rFonts w:hint="eastAsia"/>
              <w:sz w:val="21"/>
              <w:szCs w:val="21"/>
            </w:rPr>
            <w:t>2 验收依据</w:t>
          </w:r>
          <w:r>
            <w:rPr>
              <w:sz w:val="21"/>
              <w:szCs w:val="21"/>
            </w:rPr>
            <w:tab/>
          </w:r>
          <w:r>
            <w:rPr>
              <w:sz w:val="21"/>
              <w:szCs w:val="21"/>
            </w:rPr>
            <w:fldChar w:fldCharType="begin"/>
          </w:r>
          <w:r>
            <w:rPr>
              <w:sz w:val="21"/>
              <w:szCs w:val="21"/>
            </w:rPr>
            <w:instrText xml:space="preserve"> PAGEREF _Toc14303 \h </w:instrText>
          </w:r>
          <w:r>
            <w:rPr>
              <w:sz w:val="21"/>
              <w:szCs w:val="21"/>
            </w:rPr>
            <w:fldChar w:fldCharType="separate"/>
          </w:r>
          <w:r>
            <w:rPr>
              <w:sz w:val="21"/>
              <w:szCs w:val="21"/>
            </w:rPr>
            <w:t>2</w:t>
          </w:r>
          <w:r>
            <w:rPr>
              <w:sz w:val="21"/>
              <w:szCs w:val="21"/>
            </w:rPr>
            <w:fldChar w:fldCharType="end"/>
          </w:r>
          <w:r>
            <w:rPr>
              <w:bCs/>
              <w:sz w:val="21"/>
              <w:szCs w:val="21"/>
              <w:lang w:val="zh-CN"/>
            </w:rPr>
            <w:fldChar w:fldCharType="end"/>
          </w:r>
        </w:p>
        <w:p>
          <w:pPr>
            <w:pStyle w:val="13"/>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_Toc16762 </w:instrText>
          </w:r>
          <w:r>
            <w:rPr>
              <w:bCs/>
              <w:sz w:val="21"/>
              <w:szCs w:val="21"/>
              <w:lang w:val="zh-CN"/>
            </w:rPr>
            <w:fldChar w:fldCharType="separate"/>
          </w:r>
          <w:r>
            <w:rPr>
              <w:rFonts w:hint="eastAsia"/>
              <w:sz w:val="21"/>
              <w:szCs w:val="21"/>
            </w:rPr>
            <w:t>3 项目建设情况</w:t>
          </w:r>
          <w:r>
            <w:rPr>
              <w:sz w:val="21"/>
              <w:szCs w:val="21"/>
            </w:rPr>
            <w:tab/>
          </w:r>
          <w:r>
            <w:rPr>
              <w:sz w:val="21"/>
              <w:szCs w:val="21"/>
            </w:rPr>
            <w:fldChar w:fldCharType="begin"/>
          </w:r>
          <w:r>
            <w:rPr>
              <w:sz w:val="21"/>
              <w:szCs w:val="21"/>
            </w:rPr>
            <w:instrText xml:space="preserve"> PAGEREF _Toc16762 \h </w:instrText>
          </w:r>
          <w:r>
            <w:rPr>
              <w:sz w:val="21"/>
              <w:szCs w:val="21"/>
            </w:rPr>
            <w:fldChar w:fldCharType="separate"/>
          </w:r>
          <w:r>
            <w:rPr>
              <w:sz w:val="21"/>
              <w:szCs w:val="21"/>
            </w:rPr>
            <w:t>3</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_Toc4415 </w:instrText>
          </w:r>
          <w:r>
            <w:rPr>
              <w:bCs/>
              <w:sz w:val="21"/>
              <w:szCs w:val="21"/>
              <w:lang w:val="zh-CN"/>
            </w:rPr>
            <w:fldChar w:fldCharType="separate"/>
          </w:r>
          <w:r>
            <w:rPr>
              <w:rFonts w:hint="eastAsia"/>
              <w:sz w:val="21"/>
              <w:szCs w:val="21"/>
            </w:rPr>
            <w:t>3.1 地理位置及平面布置</w:t>
          </w:r>
          <w:r>
            <w:rPr>
              <w:sz w:val="21"/>
              <w:szCs w:val="21"/>
            </w:rPr>
            <w:tab/>
          </w:r>
          <w:r>
            <w:rPr>
              <w:sz w:val="21"/>
              <w:szCs w:val="21"/>
            </w:rPr>
            <w:fldChar w:fldCharType="begin"/>
          </w:r>
          <w:r>
            <w:rPr>
              <w:sz w:val="21"/>
              <w:szCs w:val="21"/>
            </w:rPr>
            <w:instrText xml:space="preserve"> PAGEREF _Toc4415 \h </w:instrText>
          </w:r>
          <w:r>
            <w:rPr>
              <w:sz w:val="21"/>
              <w:szCs w:val="21"/>
            </w:rPr>
            <w:fldChar w:fldCharType="separate"/>
          </w:r>
          <w:r>
            <w:rPr>
              <w:sz w:val="21"/>
              <w:szCs w:val="21"/>
            </w:rPr>
            <w:t>3</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_Toc16032 </w:instrText>
          </w:r>
          <w:r>
            <w:rPr>
              <w:bCs/>
              <w:sz w:val="21"/>
              <w:szCs w:val="21"/>
              <w:lang w:val="zh-CN"/>
            </w:rPr>
            <w:fldChar w:fldCharType="separate"/>
          </w:r>
          <w:r>
            <w:rPr>
              <w:rFonts w:hint="eastAsia"/>
              <w:sz w:val="21"/>
              <w:szCs w:val="21"/>
            </w:rPr>
            <w:t>3.2 建设内容</w:t>
          </w:r>
          <w:r>
            <w:rPr>
              <w:sz w:val="21"/>
              <w:szCs w:val="21"/>
            </w:rPr>
            <w:tab/>
          </w:r>
          <w:r>
            <w:rPr>
              <w:sz w:val="21"/>
              <w:szCs w:val="21"/>
            </w:rPr>
            <w:fldChar w:fldCharType="begin"/>
          </w:r>
          <w:r>
            <w:rPr>
              <w:sz w:val="21"/>
              <w:szCs w:val="21"/>
            </w:rPr>
            <w:instrText xml:space="preserve"> PAGEREF _Toc16032 \h </w:instrText>
          </w:r>
          <w:r>
            <w:rPr>
              <w:sz w:val="21"/>
              <w:szCs w:val="21"/>
            </w:rPr>
            <w:fldChar w:fldCharType="separate"/>
          </w:r>
          <w:r>
            <w:rPr>
              <w:sz w:val="21"/>
              <w:szCs w:val="21"/>
            </w:rPr>
            <w:t>8</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_Toc31011 </w:instrText>
          </w:r>
          <w:r>
            <w:rPr>
              <w:bCs/>
              <w:sz w:val="21"/>
              <w:szCs w:val="21"/>
              <w:lang w:val="zh-CN"/>
            </w:rPr>
            <w:fldChar w:fldCharType="separate"/>
          </w:r>
          <w:r>
            <w:rPr>
              <w:rFonts w:hint="eastAsia"/>
              <w:sz w:val="21"/>
              <w:szCs w:val="21"/>
            </w:rPr>
            <w:t>3.3 主要经营产品及规模</w:t>
          </w:r>
          <w:r>
            <w:rPr>
              <w:sz w:val="21"/>
              <w:szCs w:val="21"/>
            </w:rPr>
            <w:tab/>
          </w:r>
          <w:r>
            <w:rPr>
              <w:sz w:val="21"/>
              <w:szCs w:val="21"/>
            </w:rPr>
            <w:fldChar w:fldCharType="begin"/>
          </w:r>
          <w:r>
            <w:rPr>
              <w:sz w:val="21"/>
              <w:szCs w:val="21"/>
            </w:rPr>
            <w:instrText xml:space="preserve"> PAGEREF _Toc31011 \h </w:instrText>
          </w:r>
          <w:r>
            <w:rPr>
              <w:sz w:val="21"/>
              <w:szCs w:val="21"/>
            </w:rPr>
            <w:fldChar w:fldCharType="separate"/>
          </w:r>
          <w:r>
            <w:rPr>
              <w:sz w:val="21"/>
              <w:szCs w:val="21"/>
            </w:rPr>
            <w:t>9</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_Toc30619 </w:instrText>
          </w:r>
          <w:r>
            <w:rPr>
              <w:bCs/>
              <w:sz w:val="21"/>
              <w:szCs w:val="21"/>
              <w:lang w:val="zh-CN"/>
            </w:rPr>
            <w:fldChar w:fldCharType="separate"/>
          </w:r>
          <w:r>
            <w:rPr>
              <w:rFonts w:hint="eastAsia"/>
              <w:sz w:val="21"/>
              <w:szCs w:val="21"/>
            </w:rPr>
            <w:t>3.4 水源及水平衡</w:t>
          </w:r>
          <w:r>
            <w:rPr>
              <w:sz w:val="21"/>
              <w:szCs w:val="21"/>
            </w:rPr>
            <w:tab/>
          </w:r>
          <w:r>
            <w:rPr>
              <w:sz w:val="21"/>
              <w:szCs w:val="21"/>
            </w:rPr>
            <w:fldChar w:fldCharType="begin"/>
          </w:r>
          <w:r>
            <w:rPr>
              <w:sz w:val="21"/>
              <w:szCs w:val="21"/>
            </w:rPr>
            <w:instrText xml:space="preserve"> PAGEREF _Toc30619 \h </w:instrText>
          </w:r>
          <w:r>
            <w:rPr>
              <w:sz w:val="21"/>
              <w:szCs w:val="21"/>
            </w:rPr>
            <w:fldChar w:fldCharType="separate"/>
          </w:r>
          <w:r>
            <w:rPr>
              <w:sz w:val="21"/>
              <w:szCs w:val="21"/>
            </w:rPr>
            <w:t>10</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_Toc20572 </w:instrText>
          </w:r>
          <w:r>
            <w:rPr>
              <w:bCs/>
              <w:sz w:val="21"/>
              <w:szCs w:val="21"/>
              <w:lang w:val="zh-CN"/>
            </w:rPr>
            <w:fldChar w:fldCharType="separate"/>
          </w:r>
          <w:r>
            <w:rPr>
              <w:rFonts w:hint="eastAsia"/>
              <w:sz w:val="21"/>
              <w:szCs w:val="21"/>
            </w:rPr>
            <w:t>3.5 生产工艺</w:t>
          </w:r>
          <w:r>
            <w:rPr>
              <w:sz w:val="21"/>
              <w:szCs w:val="21"/>
            </w:rPr>
            <w:tab/>
          </w:r>
          <w:r>
            <w:rPr>
              <w:sz w:val="21"/>
              <w:szCs w:val="21"/>
            </w:rPr>
            <w:fldChar w:fldCharType="begin"/>
          </w:r>
          <w:r>
            <w:rPr>
              <w:sz w:val="21"/>
              <w:szCs w:val="21"/>
            </w:rPr>
            <w:instrText xml:space="preserve"> PAGEREF _Toc20572 \h </w:instrText>
          </w:r>
          <w:r>
            <w:rPr>
              <w:sz w:val="21"/>
              <w:szCs w:val="21"/>
            </w:rPr>
            <w:fldChar w:fldCharType="separate"/>
          </w:r>
          <w:r>
            <w:rPr>
              <w:sz w:val="21"/>
              <w:szCs w:val="21"/>
            </w:rPr>
            <w:t>10</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_Toc28425 </w:instrText>
          </w:r>
          <w:r>
            <w:rPr>
              <w:bCs/>
              <w:sz w:val="21"/>
              <w:szCs w:val="21"/>
              <w:lang w:val="zh-CN"/>
            </w:rPr>
            <w:fldChar w:fldCharType="separate"/>
          </w:r>
          <w:r>
            <w:rPr>
              <w:rFonts w:hint="eastAsia"/>
              <w:sz w:val="21"/>
              <w:szCs w:val="21"/>
            </w:rPr>
            <w:t>3.6 项目变动情况</w:t>
          </w:r>
          <w:r>
            <w:rPr>
              <w:sz w:val="21"/>
              <w:szCs w:val="21"/>
            </w:rPr>
            <w:tab/>
          </w:r>
          <w:r>
            <w:rPr>
              <w:sz w:val="21"/>
              <w:szCs w:val="21"/>
            </w:rPr>
            <w:fldChar w:fldCharType="begin"/>
          </w:r>
          <w:r>
            <w:rPr>
              <w:sz w:val="21"/>
              <w:szCs w:val="21"/>
            </w:rPr>
            <w:instrText xml:space="preserve"> PAGEREF _Toc28425 \h </w:instrText>
          </w:r>
          <w:r>
            <w:rPr>
              <w:sz w:val="21"/>
              <w:szCs w:val="21"/>
            </w:rPr>
            <w:fldChar w:fldCharType="separate"/>
          </w:r>
          <w:r>
            <w:rPr>
              <w:sz w:val="21"/>
              <w:szCs w:val="21"/>
            </w:rPr>
            <w:t>12</w:t>
          </w:r>
          <w:r>
            <w:rPr>
              <w:sz w:val="21"/>
              <w:szCs w:val="21"/>
            </w:rPr>
            <w:fldChar w:fldCharType="end"/>
          </w:r>
          <w:r>
            <w:rPr>
              <w:bCs/>
              <w:sz w:val="21"/>
              <w:szCs w:val="21"/>
              <w:lang w:val="zh-CN"/>
            </w:rPr>
            <w:fldChar w:fldCharType="end"/>
          </w:r>
        </w:p>
        <w:p>
          <w:pPr>
            <w:pStyle w:val="13"/>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_Toc26595 </w:instrText>
          </w:r>
          <w:r>
            <w:rPr>
              <w:bCs/>
              <w:sz w:val="21"/>
              <w:szCs w:val="21"/>
              <w:lang w:val="zh-CN"/>
            </w:rPr>
            <w:fldChar w:fldCharType="separate"/>
          </w:r>
          <w:r>
            <w:rPr>
              <w:rFonts w:hint="eastAsia"/>
              <w:sz w:val="21"/>
              <w:szCs w:val="21"/>
            </w:rPr>
            <w:t>4 环境保护设施</w:t>
          </w:r>
          <w:r>
            <w:rPr>
              <w:sz w:val="21"/>
              <w:szCs w:val="21"/>
            </w:rPr>
            <w:tab/>
          </w:r>
          <w:r>
            <w:rPr>
              <w:sz w:val="21"/>
              <w:szCs w:val="21"/>
            </w:rPr>
            <w:fldChar w:fldCharType="begin"/>
          </w:r>
          <w:r>
            <w:rPr>
              <w:sz w:val="21"/>
              <w:szCs w:val="21"/>
            </w:rPr>
            <w:instrText xml:space="preserve"> PAGEREF _Toc26595 \h </w:instrText>
          </w:r>
          <w:r>
            <w:rPr>
              <w:sz w:val="21"/>
              <w:szCs w:val="21"/>
            </w:rPr>
            <w:fldChar w:fldCharType="separate"/>
          </w:r>
          <w:r>
            <w:rPr>
              <w:sz w:val="21"/>
              <w:szCs w:val="21"/>
            </w:rPr>
            <w:t>15</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_Toc20389 </w:instrText>
          </w:r>
          <w:r>
            <w:rPr>
              <w:bCs/>
              <w:sz w:val="21"/>
              <w:szCs w:val="21"/>
              <w:lang w:val="zh-CN"/>
            </w:rPr>
            <w:fldChar w:fldCharType="separate"/>
          </w:r>
          <w:r>
            <w:rPr>
              <w:rFonts w:hint="eastAsia"/>
              <w:sz w:val="21"/>
              <w:szCs w:val="21"/>
            </w:rPr>
            <w:t>4.1 污染物治理</w:t>
          </w:r>
          <w:r>
            <w:rPr>
              <w:sz w:val="21"/>
              <w:szCs w:val="21"/>
            </w:rPr>
            <w:t>/</w:t>
          </w:r>
          <w:r>
            <w:rPr>
              <w:rFonts w:hint="eastAsia"/>
              <w:sz w:val="21"/>
              <w:szCs w:val="21"/>
            </w:rPr>
            <w:t>处置设施</w:t>
          </w:r>
          <w:r>
            <w:rPr>
              <w:sz w:val="21"/>
              <w:szCs w:val="21"/>
            </w:rPr>
            <w:tab/>
          </w:r>
          <w:r>
            <w:rPr>
              <w:sz w:val="21"/>
              <w:szCs w:val="21"/>
            </w:rPr>
            <w:fldChar w:fldCharType="begin"/>
          </w:r>
          <w:r>
            <w:rPr>
              <w:sz w:val="21"/>
              <w:szCs w:val="21"/>
            </w:rPr>
            <w:instrText xml:space="preserve"> PAGEREF _Toc20389 \h </w:instrText>
          </w:r>
          <w:r>
            <w:rPr>
              <w:sz w:val="21"/>
              <w:szCs w:val="21"/>
            </w:rPr>
            <w:fldChar w:fldCharType="separate"/>
          </w:r>
          <w:r>
            <w:rPr>
              <w:sz w:val="21"/>
              <w:szCs w:val="21"/>
            </w:rPr>
            <w:t>15</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_Toc28314 </w:instrText>
          </w:r>
          <w:r>
            <w:rPr>
              <w:bCs/>
              <w:sz w:val="21"/>
              <w:szCs w:val="21"/>
              <w:lang w:val="zh-CN"/>
            </w:rPr>
            <w:fldChar w:fldCharType="separate"/>
          </w:r>
          <w:r>
            <w:rPr>
              <w:rFonts w:hint="eastAsia"/>
              <w:sz w:val="21"/>
              <w:szCs w:val="21"/>
            </w:rPr>
            <w:t xml:space="preserve">4.1.1 </w:t>
          </w:r>
          <w:r>
            <w:rPr>
              <w:sz w:val="21"/>
              <w:szCs w:val="21"/>
            </w:rPr>
            <w:t>废水</w:t>
          </w:r>
          <w:r>
            <w:rPr>
              <w:sz w:val="21"/>
              <w:szCs w:val="21"/>
            </w:rPr>
            <w:tab/>
          </w:r>
          <w:r>
            <w:rPr>
              <w:sz w:val="21"/>
              <w:szCs w:val="21"/>
            </w:rPr>
            <w:fldChar w:fldCharType="begin"/>
          </w:r>
          <w:r>
            <w:rPr>
              <w:sz w:val="21"/>
              <w:szCs w:val="21"/>
            </w:rPr>
            <w:instrText xml:space="preserve"> PAGEREF _Toc28314 \h </w:instrText>
          </w:r>
          <w:r>
            <w:rPr>
              <w:sz w:val="21"/>
              <w:szCs w:val="21"/>
            </w:rPr>
            <w:fldChar w:fldCharType="separate"/>
          </w:r>
          <w:r>
            <w:rPr>
              <w:sz w:val="21"/>
              <w:szCs w:val="21"/>
            </w:rPr>
            <w:t>15</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_Toc26490 </w:instrText>
          </w:r>
          <w:r>
            <w:rPr>
              <w:bCs/>
              <w:sz w:val="21"/>
              <w:szCs w:val="21"/>
              <w:lang w:val="zh-CN"/>
            </w:rPr>
            <w:fldChar w:fldCharType="separate"/>
          </w:r>
          <w:r>
            <w:rPr>
              <w:rFonts w:hint="eastAsia"/>
              <w:sz w:val="21"/>
              <w:szCs w:val="21"/>
            </w:rPr>
            <w:t>4.1.2 废气</w:t>
          </w:r>
          <w:r>
            <w:rPr>
              <w:sz w:val="21"/>
              <w:szCs w:val="21"/>
            </w:rPr>
            <w:tab/>
          </w:r>
          <w:r>
            <w:rPr>
              <w:sz w:val="21"/>
              <w:szCs w:val="21"/>
            </w:rPr>
            <w:fldChar w:fldCharType="begin"/>
          </w:r>
          <w:r>
            <w:rPr>
              <w:sz w:val="21"/>
              <w:szCs w:val="21"/>
            </w:rPr>
            <w:instrText xml:space="preserve"> PAGEREF _Toc26490 \h </w:instrText>
          </w:r>
          <w:r>
            <w:rPr>
              <w:sz w:val="21"/>
              <w:szCs w:val="21"/>
            </w:rPr>
            <w:fldChar w:fldCharType="separate"/>
          </w:r>
          <w:r>
            <w:rPr>
              <w:sz w:val="21"/>
              <w:szCs w:val="21"/>
            </w:rPr>
            <w:t>16</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_Toc12880 </w:instrText>
          </w:r>
          <w:r>
            <w:rPr>
              <w:bCs/>
              <w:sz w:val="21"/>
              <w:szCs w:val="21"/>
              <w:lang w:val="zh-CN"/>
            </w:rPr>
            <w:fldChar w:fldCharType="separate"/>
          </w:r>
          <w:r>
            <w:rPr>
              <w:rFonts w:hint="eastAsia"/>
              <w:sz w:val="21"/>
              <w:szCs w:val="21"/>
            </w:rPr>
            <w:t>4.1.3 噪声</w:t>
          </w:r>
          <w:r>
            <w:rPr>
              <w:sz w:val="21"/>
              <w:szCs w:val="21"/>
            </w:rPr>
            <w:tab/>
          </w:r>
          <w:r>
            <w:rPr>
              <w:sz w:val="21"/>
              <w:szCs w:val="21"/>
            </w:rPr>
            <w:fldChar w:fldCharType="begin"/>
          </w:r>
          <w:r>
            <w:rPr>
              <w:sz w:val="21"/>
              <w:szCs w:val="21"/>
            </w:rPr>
            <w:instrText xml:space="preserve"> PAGEREF _Toc12880 \h </w:instrText>
          </w:r>
          <w:r>
            <w:rPr>
              <w:sz w:val="21"/>
              <w:szCs w:val="21"/>
            </w:rPr>
            <w:fldChar w:fldCharType="separate"/>
          </w:r>
          <w:r>
            <w:rPr>
              <w:sz w:val="21"/>
              <w:szCs w:val="21"/>
            </w:rPr>
            <w:t>18</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_Toc19803 </w:instrText>
          </w:r>
          <w:r>
            <w:rPr>
              <w:bCs/>
              <w:sz w:val="21"/>
              <w:szCs w:val="21"/>
              <w:lang w:val="zh-CN"/>
            </w:rPr>
            <w:fldChar w:fldCharType="separate"/>
          </w:r>
          <w:r>
            <w:rPr>
              <w:rFonts w:hint="eastAsia"/>
              <w:sz w:val="21"/>
              <w:szCs w:val="21"/>
            </w:rPr>
            <w:t>4.1.4 固（液）体废物</w:t>
          </w:r>
          <w:r>
            <w:rPr>
              <w:sz w:val="21"/>
              <w:szCs w:val="21"/>
            </w:rPr>
            <w:tab/>
          </w:r>
          <w:r>
            <w:rPr>
              <w:sz w:val="21"/>
              <w:szCs w:val="21"/>
            </w:rPr>
            <w:fldChar w:fldCharType="begin"/>
          </w:r>
          <w:r>
            <w:rPr>
              <w:sz w:val="21"/>
              <w:szCs w:val="21"/>
            </w:rPr>
            <w:instrText xml:space="preserve"> PAGEREF _Toc19803 \h </w:instrText>
          </w:r>
          <w:r>
            <w:rPr>
              <w:sz w:val="21"/>
              <w:szCs w:val="21"/>
            </w:rPr>
            <w:fldChar w:fldCharType="separate"/>
          </w:r>
          <w:r>
            <w:rPr>
              <w:sz w:val="21"/>
              <w:szCs w:val="21"/>
            </w:rPr>
            <w:t>18</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_Toc30146 </w:instrText>
          </w:r>
          <w:r>
            <w:rPr>
              <w:bCs/>
              <w:sz w:val="21"/>
              <w:szCs w:val="21"/>
              <w:lang w:val="zh-CN"/>
            </w:rPr>
            <w:fldChar w:fldCharType="separate"/>
          </w:r>
          <w:r>
            <w:rPr>
              <w:rFonts w:hint="eastAsia"/>
              <w:sz w:val="21"/>
              <w:szCs w:val="21"/>
            </w:rPr>
            <w:t>4.2 其他环境保护设施</w:t>
          </w:r>
          <w:r>
            <w:rPr>
              <w:sz w:val="21"/>
              <w:szCs w:val="21"/>
            </w:rPr>
            <w:tab/>
          </w:r>
          <w:r>
            <w:rPr>
              <w:sz w:val="21"/>
              <w:szCs w:val="21"/>
            </w:rPr>
            <w:fldChar w:fldCharType="begin"/>
          </w:r>
          <w:r>
            <w:rPr>
              <w:sz w:val="21"/>
              <w:szCs w:val="21"/>
            </w:rPr>
            <w:instrText xml:space="preserve"> PAGEREF _Toc30146 \h </w:instrText>
          </w:r>
          <w:r>
            <w:rPr>
              <w:sz w:val="21"/>
              <w:szCs w:val="21"/>
            </w:rPr>
            <w:fldChar w:fldCharType="separate"/>
          </w:r>
          <w:r>
            <w:rPr>
              <w:sz w:val="21"/>
              <w:szCs w:val="21"/>
            </w:rPr>
            <w:t>19</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_Toc2918 </w:instrText>
          </w:r>
          <w:r>
            <w:rPr>
              <w:bCs/>
              <w:sz w:val="21"/>
              <w:szCs w:val="21"/>
              <w:lang w:val="zh-CN"/>
            </w:rPr>
            <w:fldChar w:fldCharType="separate"/>
          </w:r>
          <w:r>
            <w:rPr>
              <w:rFonts w:hint="eastAsia"/>
              <w:sz w:val="21"/>
              <w:szCs w:val="21"/>
            </w:rPr>
            <w:t>4.2.1 环境管理</w:t>
          </w:r>
          <w:r>
            <w:rPr>
              <w:sz w:val="21"/>
              <w:szCs w:val="21"/>
            </w:rPr>
            <w:tab/>
          </w:r>
          <w:r>
            <w:rPr>
              <w:sz w:val="21"/>
              <w:szCs w:val="21"/>
            </w:rPr>
            <w:fldChar w:fldCharType="begin"/>
          </w:r>
          <w:r>
            <w:rPr>
              <w:sz w:val="21"/>
              <w:szCs w:val="21"/>
            </w:rPr>
            <w:instrText xml:space="preserve"> PAGEREF _Toc2918 \h </w:instrText>
          </w:r>
          <w:r>
            <w:rPr>
              <w:sz w:val="21"/>
              <w:szCs w:val="21"/>
            </w:rPr>
            <w:fldChar w:fldCharType="separate"/>
          </w:r>
          <w:r>
            <w:rPr>
              <w:sz w:val="21"/>
              <w:szCs w:val="21"/>
            </w:rPr>
            <w:t>19</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_Toc27555 </w:instrText>
          </w:r>
          <w:r>
            <w:rPr>
              <w:bCs/>
              <w:sz w:val="21"/>
              <w:szCs w:val="21"/>
              <w:lang w:val="zh-CN"/>
            </w:rPr>
            <w:fldChar w:fldCharType="separate"/>
          </w:r>
          <w:r>
            <w:rPr>
              <w:rFonts w:hint="eastAsia"/>
              <w:sz w:val="21"/>
              <w:szCs w:val="21"/>
            </w:rPr>
            <w:t>4.2.2 规范化排污口及监测计划</w:t>
          </w:r>
          <w:r>
            <w:rPr>
              <w:sz w:val="21"/>
              <w:szCs w:val="21"/>
            </w:rPr>
            <w:tab/>
          </w:r>
          <w:r>
            <w:rPr>
              <w:sz w:val="21"/>
              <w:szCs w:val="21"/>
            </w:rPr>
            <w:fldChar w:fldCharType="begin"/>
          </w:r>
          <w:r>
            <w:rPr>
              <w:sz w:val="21"/>
              <w:szCs w:val="21"/>
            </w:rPr>
            <w:instrText xml:space="preserve"> PAGEREF _Toc27555 \h </w:instrText>
          </w:r>
          <w:r>
            <w:rPr>
              <w:sz w:val="21"/>
              <w:szCs w:val="21"/>
            </w:rPr>
            <w:fldChar w:fldCharType="separate"/>
          </w:r>
          <w:r>
            <w:rPr>
              <w:sz w:val="21"/>
              <w:szCs w:val="21"/>
            </w:rPr>
            <w:t>20</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_Toc15968 </w:instrText>
          </w:r>
          <w:r>
            <w:rPr>
              <w:bCs/>
              <w:sz w:val="21"/>
              <w:szCs w:val="21"/>
              <w:lang w:val="zh-CN"/>
            </w:rPr>
            <w:fldChar w:fldCharType="separate"/>
          </w:r>
          <w:r>
            <w:rPr>
              <w:rFonts w:hint="eastAsia"/>
              <w:sz w:val="21"/>
              <w:szCs w:val="21"/>
            </w:rPr>
            <w:t>4.3 环保设施投资及“三同时”落实情况</w:t>
          </w:r>
          <w:r>
            <w:rPr>
              <w:sz w:val="21"/>
              <w:szCs w:val="21"/>
            </w:rPr>
            <w:tab/>
          </w:r>
          <w:r>
            <w:rPr>
              <w:sz w:val="21"/>
              <w:szCs w:val="21"/>
            </w:rPr>
            <w:fldChar w:fldCharType="begin"/>
          </w:r>
          <w:r>
            <w:rPr>
              <w:sz w:val="21"/>
              <w:szCs w:val="21"/>
            </w:rPr>
            <w:instrText xml:space="preserve"> PAGEREF _Toc15968 \h </w:instrText>
          </w:r>
          <w:r>
            <w:rPr>
              <w:sz w:val="21"/>
              <w:szCs w:val="21"/>
            </w:rPr>
            <w:fldChar w:fldCharType="separate"/>
          </w:r>
          <w:r>
            <w:rPr>
              <w:sz w:val="21"/>
              <w:szCs w:val="21"/>
            </w:rPr>
            <w:t>20</w:t>
          </w:r>
          <w:r>
            <w:rPr>
              <w:sz w:val="21"/>
              <w:szCs w:val="21"/>
            </w:rPr>
            <w:fldChar w:fldCharType="end"/>
          </w:r>
          <w:r>
            <w:rPr>
              <w:bCs/>
              <w:sz w:val="21"/>
              <w:szCs w:val="21"/>
              <w:lang w:val="zh-CN"/>
            </w:rPr>
            <w:fldChar w:fldCharType="end"/>
          </w:r>
        </w:p>
        <w:p>
          <w:pPr>
            <w:pStyle w:val="13"/>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_Toc9978 </w:instrText>
          </w:r>
          <w:r>
            <w:rPr>
              <w:bCs/>
              <w:sz w:val="21"/>
              <w:szCs w:val="21"/>
              <w:lang w:val="zh-CN"/>
            </w:rPr>
            <w:fldChar w:fldCharType="separate"/>
          </w:r>
          <w:r>
            <w:rPr>
              <w:rFonts w:hint="eastAsia"/>
              <w:sz w:val="21"/>
              <w:szCs w:val="21"/>
            </w:rPr>
            <w:t>5 环境影响报告书（表）主要结论与建议及其审批部门审批决定</w:t>
          </w:r>
          <w:r>
            <w:rPr>
              <w:sz w:val="21"/>
              <w:szCs w:val="21"/>
            </w:rPr>
            <w:tab/>
          </w:r>
          <w:r>
            <w:rPr>
              <w:sz w:val="21"/>
              <w:szCs w:val="21"/>
            </w:rPr>
            <w:fldChar w:fldCharType="begin"/>
          </w:r>
          <w:r>
            <w:rPr>
              <w:sz w:val="21"/>
              <w:szCs w:val="21"/>
            </w:rPr>
            <w:instrText xml:space="preserve"> PAGEREF _Toc9978 \h </w:instrText>
          </w:r>
          <w:r>
            <w:rPr>
              <w:sz w:val="21"/>
              <w:szCs w:val="21"/>
            </w:rPr>
            <w:fldChar w:fldCharType="separate"/>
          </w:r>
          <w:r>
            <w:rPr>
              <w:sz w:val="21"/>
              <w:szCs w:val="21"/>
            </w:rPr>
            <w:t>21</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_Toc22825 </w:instrText>
          </w:r>
          <w:r>
            <w:rPr>
              <w:bCs/>
              <w:sz w:val="21"/>
              <w:szCs w:val="21"/>
              <w:lang w:val="zh-CN"/>
            </w:rPr>
            <w:fldChar w:fldCharType="separate"/>
          </w:r>
          <w:r>
            <w:rPr>
              <w:rFonts w:hint="eastAsia"/>
              <w:sz w:val="21"/>
              <w:szCs w:val="21"/>
            </w:rPr>
            <w:t>5.1 环境影响报告书（表）主要结论与建议</w:t>
          </w:r>
          <w:r>
            <w:rPr>
              <w:sz w:val="21"/>
              <w:szCs w:val="21"/>
            </w:rPr>
            <w:tab/>
          </w:r>
          <w:r>
            <w:rPr>
              <w:sz w:val="21"/>
              <w:szCs w:val="21"/>
            </w:rPr>
            <w:fldChar w:fldCharType="begin"/>
          </w:r>
          <w:r>
            <w:rPr>
              <w:sz w:val="21"/>
              <w:szCs w:val="21"/>
            </w:rPr>
            <w:instrText xml:space="preserve"> PAGEREF _Toc22825 \h </w:instrText>
          </w:r>
          <w:r>
            <w:rPr>
              <w:sz w:val="21"/>
              <w:szCs w:val="21"/>
            </w:rPr>
            <w:fldChar w:fldCharType="separate"/>
          </w:r>
          <w:r>
            <w:rPr>
              <w:sz w:val="21"/>
              <w:szCs w:val="21"/>
            </w:rPr>
            <w:t>21</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_Toc4948 </w:instrText>
          </w:r>
          <w:r>
            <w:rPr>
              <w:bCs/>
              <w:sz w:val="21"/>
              <w:szCs w:val="21"/>
              <w:lang w:val="zh-CN"/>
            </w:rPr>
            <w:fldChar w:fldCharType="separate"/>
          </w:r>
          <w:r>
            <w:rPr>
              <w:rFonts w:hint="eastAsia"/>
              <w:sz w:val="21"/>
              <w:szCs w:val="21"/>
            </w:rPr>
            <w:t>5.1.1 选址合理性分析</w:t>
          </w:r>
          <w:r>
            <w:rPr>
              <w:sz w:val="21"/>
              <w:szCs w:val="21"/>
            </w:rPr>
            <w:tab/>
          </w:r>
          <w:r>
            <w:rPr>
              <w:sz w:val="21"/>
              <w:szCs w:val="21"/>
            </w:rPr>
            <w:fldChar w:fldCharType="begin"/>
          </w:r>
          <w:r>
            <w:rPr>
              <w:sz w:val="21"/>
              <w:szCs w:val="21"/>
            </w:rPr>
            <w:instrText xml:space="preserve"> PAGEREF _Toc4948 \h </w:instrText>
          </w:r>
          <w:r>
            <w:rPr>
              <w:sz w:val="21"/>
              <w:szCs w:val="21"/>
            </w:rPr>
            <w:fldChar w:fldCharType="separate"/>
          </w:r>
          <w:r>
            <w:rPr>
              <w:sz w:val="21"/>
              <w:szCs w:val="21"/>
            </w:rPr>
            <w:t>21</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_Toc29852 </w:instrText>
          </w:r>
          <w:r>
            <w:rPr>
              <w:bCs/>
              <w:sz w:val="21"/>
              <w:szCs w:val="21"/>
              <w:lang w:val="zh-CN"/>
            </w:rPr>
            <w:fldChar w:fldCharType="separate"/>
          </w:r>
          <w:r>
            <w:rPr>
              <w:rFonts w:hint="eastAsia"/>
              <w:sz w:val="21"/>
              <w:szCs w:val="21"/>
            </w:rPr>
            <w:t>5.1.2 环境质量现状结论</w:t>
          </w:r>
          <w:r>
            <w:rPr>
              <w:sz w:val="21"/>
              <w:szCs w:val="21"/>
            </w:rPr>
            <w:tab/>
          </w:r>
          <w:r>
            <w:rPr>
              <w:sz w:val="21"/>
              <w:szCs w:val="21"/>
            </w:rPr>
            <w:fldChar w:fldCharType="begin"/>
          </w:r>
          <w:r>
            <w:rPr>
              <w:sz w:val="21"/>
              <w:szCs w:val="21"/>
            </w:rPr>
            <w:instrText xml:space="preserve"> PAGEREF _Toc29852 \h </w:instrText>
          </w:r>
          <w:r>
            <w:rPr>
              <w:sz w:val="21"/>
              <w:szCs w:val="21"/>
            </w:rPr>
            <w:fldChar w:fldCharType="separate"/>
          </w:r>
          <w:r>
            <w:rPr>
              <w:sz w:val="21"/>
              <w:szCs w:val="21"/>
            </w:rPr>
            <w:t>21</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_Toc23449 </w:instrText>
          </w:r>
          <w:r>
            <w:rPr>
              <w:bCs/>
              <w:sz w:val="21"/>
              <w:szCs w:val="21"/>
              <w:lang w:val="zh-CN"/>
            </w:rPr>
            <w:fldChar w:fldCharType="separate"/>
          </w:r>
          <w:r>
            <w:rPr>
              <w:rFonts w:hint="eastAsia"/>
              <w:sz w:val="21"/>
              <w:szCs w:val="21"/>
            </w:rPr>
            <w:t>5.1.3 环境影响分析结论</w:t>
          </w:r>
          <w:r>
            <w:rPr>
              <w:sz w:val="21"/>
              <w:szCs w:val="21"/>
            </w:rPr>
            <w:tab/>
          </w:r>
          <w:r>
            <w:rPr>
              <w:sz w:val="21"/>
              <w:szCs w:val="21"/>
            </w:rPr>
            <w:fldChar w:fldCharType="begin"/>
          </w:r>
          <w:r>
            <w:rPr>
              <w:sz w:val="21"/>
              <w:szCs w:val="21"/>
            </w:rPr>
            <w:instrText xml:space="preserve"> PAGEREF _Toc23449 \h </w:instrText>
          </w:r>
          <w:r>
            <w:rPr>
              <w:sz w:val="21"/>
              <w:szCs w:val="21"/>
            </w:rPr>
            <w:fldChar w:fldCharType="separate"/>
          </w:r>
          <w:r>
            <w:rPr>
              <w:sz w:val="21"/>
              <w:szCs w:val="21"/>
            </w:rPr>
            <w:t>21</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_Toc6033 </w:instrText>
          </w:r>
          <w:r>
            <w:rPr>
              <w:bCs/>
              <w:sz w:val="21"/>
              <w:szCs w:val="21"/>
              <w:lang w:val="zh-CN"/>
            </w:rPr>
            <w:fldChar w:fldCharType="separate"/>
          </w:r>
          <w:r>
            <w:rPr>
              <w:rFonts w:hint="eastAsia"/>
              <w:sz w:val="21"/>
              <w:szCs w:val="21"/>
            </w:rPr>
            <w:t>5.1.4 综合评价结论</w:t>
          </w:r>
          <w:r>
            <w:rPr>
              <w:sz w:val="21"/>
              <w:szCs w:val="21"/>
            </w:rPr>
            <w:tab/>
          </w:r>
          <w:r>
            <w:rPr>
              <w:sz w:val="21"/>
              <w:szCs w:val="21"/>
            </w:rPr>
            <w:fldChar w:fldCharType="begin"/>
          </w:r>
          <w:r>
            <w:rPr>
              <w:sz w:val="21"/>
              <w:szCs w:val="21"/>
            </w:rPr>
            <w:instrText xml:space="preserve"> PAGEREF _Toc6033 \h </w:instrText>
          </w:r>
          <w:r>
            <w:rPr>
              <w:sz w:val="21"/>
              <w:szCs w:val="21"/>
            </w:rPr>
            <w:fldChar w:fldCharType="separate"/>
          </w:r>
          <w:r>
            <w:rPr>
              <w:sz w:val="21"/>
              <w:szCs w:val="21"/>
            </w:rPr>
            <w:t>23</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_Toc7309 </w:instrText>
          </w:r>
          <w:r>
            <w:rPr>
              <w:bCs/>
              <w:sz w:val="21"/>
              <w:szCs w:val="21"/>
              <w:lang w:val="zh-CN"/>
            </w:rPr>
            <w:fldChar w:fldCharType="separate"/>
          </w:r>
          <w:r>
            <w:rPr>
              <w:rFonts w:hint="eastAsia"/>
              <w:sz w:val="21"/>
              <w:szCs w:val="21"/>
            </w:rPr>
            <w:t>5.2 审批部门审批决定及环评批复落实情况</w:t>
          </w:r>
          <w:r>
            <w:rPr>
              <w:sz w:val="21"/>
              <w:szCs w:val="21"/>
            </w:rPr>
            <w:tab/>
          </w:r>
          <w:r>
            <w:rPr>
              <w:sz w:val="21"/>
              <w:szCs w:val="21"/>
            </w:rPr>
            <w:fldChar w:fldCharType="begin"/>
          </w:r>
          <w:r>
            <w:rPr>
              <w:sz w:val="21"/>
              <w:szCs w:val="21"/>
            </w:rPr>
            <w:instrText xml:space="preserve"> PAGEREF _Toc7309 \h </w:instrText>
          </w:r>
          <w:r>
            <w:rPr>
              <w:sz w:val="21"/>
              <w:szCs w:val="21"/>
            </w:rPr>
            <w:fldChar w:fldCharType="separate"/>
          </w:r>
          <w:r>
            <w:rPr>
              <w:sz w:val="21"/>
              <w:szCs w:val="21"/>
            </w:rPr>
            <w:t>23</w:t>
          </w:r>
          <w:r>
            <w:rPr>
              <w:sz w:val="21"/>
              <w:szCs w:val="21"/>
            </w:rPr>
            <w:fldChar w:fldCharType="end"/>
          </w:r>
          <w:r>
            <w:rPr>
              <w:bCs/>
              <w:sz w:val="21"/>
              <w:szCs w:val="21"/>
              <w:lang w:val="zh-CN"/>
            </w:rPr>
            <w:fldChar w:fldCharType="end"/>
          </w:r>
        </w:p>
        <w:p>
          <w:pPr>
            <w:pStyle w:val="13"/>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_Toc32737 </w:instrText>
          </w:r>
          <w:r>
            <w:rPr>
              <w:bCs/>
              <w:sz w:val="21"/>
              <w:szCs w:val="21"/>
              <w:lang w:val="zh-CN"/>
            </w:rPr>
            <w:fldChar w:fldCharType="separate"/>
          </w:r>
          <w:r>
            <w:rPr>
              <w:rFonts w:hint="eastAsia"/>
              <w:sz w:val="21"/>
              <w:szCs w:val="21"/>
            </w:rPr>
            <w:t>6 验收执行标准</w:t>
          </w:r>
          <w:r>
            <w:rPr>
              <w:sz w:val="21"/>
              <w:szCs w:val="21"/>
            </w:rPr>
            <w:tab/>
          </w:r>
          <w:r>
            <w:rPr>
              <w:sz w:val="21"/>
              <w:szCs w:val="21"/>
            </w:rPr>
            <w:fldChar w:fldCharType="begin"/>
          </w:r>
          <w:r>
            <w:rPr>
              <w:sz w:val="21"/>
              <w:szCs w:val="21"/>
            </w:rPr>
            <w:instrText xml:space="preserve"> PAGEREF _Toc32737 \h </w:instrText>
          </w:r>
          <w:r>
            <w:rPr>
              <w:sz w:val="21"/>
              <w:szCs w:val="21"/>
            </w:rPr>
            <w:fldChar w:fldCharType="separate"/>
          </w:r>
          <w:r>
            <w:rPr>
              <w:sz w:val="21"/>
              <w:szCs w:val="21"/>
            </w:rPr>
            <w:t>27</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_Toc26682 </w:instrText>
          </w:r>
          <w:r>
            <w:rPr>
              <w:bCs/>
              <w:sz w:val="21"/>
              <w:szCs w:val="21"/>
              <w:lang w:val="zh-CN"/>
            </w:rPr>
            <w:fldChar w:fldCharType="separate"/>
          </w:r>
          <w:r>
            <w:rPr>
              <w:rFonts w:hint="eastAsia"/>
              <w:sz w:val="21"/>
              <w:szCs w:val="21"/>
            </w:rPr>
            <w:t>6.1 废水</w:t>
          </w:r>
          <w:r>
            <w:rPr>
              <w:sz w:val="21"/>
              <w:szCs w:val="21"/>
            </w:rPr>
            <w:tab/>
          </w:r>
          <w:r>
            <w:rPr>
              <w:sz w:val="21"/>
              <w:szCs w:val="21"/>
            </w:rPr>
            <w:fldChar w:fldCharType="begin"/>
          </w:r>
          <w:r>
            <w:rPr>
              <w:sz w:val="21"/>
              <w:szCs w:val="21"/>
            </w:rPr>
            <w:instrText xml:space="preserve"> PAGEREF _Toc26682 \h </w:instrText>
          </w:r>
          <w:r>
            <w:rPr>
              <w:sz w:val="21"/>
              <w:szCs w:val="21"/>
            </w:rPr>
            <w:fldChar w:fldCharType="separate"/>
          </w:r>
          <w:r>
            <w:rPr>
              <w:sz w:val="21"/>
              <w:szCs w:val="21"/>
            </w:rPr>
            <w:t>27</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_Toc31901 </w:instrText>
          </w:r>
          <w:r>
            <w:rPr>
              <w:bCs/>
              <w:sz w:val="21"/>
              <w:szCs w:val="21"/>
              <w:lang w:val="zh-CN"/>
            </w:rPr>
            <w:fldChar w:fldCharType="separate"/>
          </w:r>
          <w:r>
            <w:rPr>
              <w:rFonts w:hint="eastAsia"/>
              <w:sz w:val="21"/>
              <w:szCs w:val="21"/>
            </w:rPr>
            <w:t>6.2 废气</w:t>
          </w:r>
          <w:r>
            <w:rPr>
              <w:sz w:val="21"/>
              <w:szCs w:val="21"/>
            </w:rPr>
            <w:tab/>
          </w:r>
          <w:r>
            <w:rPr>
              <w:sz w:val="21"/>
              <w:szCs w:val="21"/>
            </w:rPr>
            <w:fldChar w:fldCharType="begin"/>
          </w:r>
          <w:r>
            <w:rPr>
              <w:sz w:val="21"/>
              <w:szCs w:val="21"/>
            </w:rPr>
            <w:instrText xml:space="preserve"> PAGEREF _Toc31901 \h </w:instrText>
          </w:r>
          <w:r>
            <w:rPr>
              <w:sz w:val="21"/>
              <w:szCs w:val="21"/>
            </w:rPr>
            <w:fldChar w:fldCharType="separate"/>
          </w:r>
          <w:r>
            <w:rPr>
              <w:sz w:val="21"/>
              <w:szCs w:val="21"/>
            </w:rPr>
            <w:t>27</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_Toc2526 </w:instrText>
          </w:r>
          <w:r>
            <w:rPr>
              <w:bCs/>
              <w:sz w:val="21"/>
              <w:szCs w:val="21"/>
              <w:lang w:val="zh-CN"/>
            </w:rPr>
            <w:fldChar w:fldCharType="separate"/>
          </w:r>
          <w:r>
            <w:rPr>
              <w:rFonts w:hint="eastAsia"/>
              <w:sz w:val="21"/>
              <w:szCs w:val="21"/>
            </w:rPr>
            <w:t>6.3 噪声</w:t>
          </w:r>
          <w:r>
            <w:rPr>
              <w:sz w:val="21"/>
              <w:szCs w:val="21"/>
            </w:rPr>
            <w:tab/>
          </w:r>
          <w:r>
            <w:rPr>
              <w:sz w:val="21"/>
              <w:szCs w:val="21"/>
            </w:rPr>
            <w:fldChar w:fldCharType="begin"/>
          </w:r>
          <w:r>
            <w:rPr>
              <w:sz w:val="21"/>
              <w:szCs w:val="21"/>
            </w:rPr>
            <w:instrText xml:space="preserve"> PAGEREF _Toc2526 \h </w:instrText>
          </w:r>
          <w:r>
            <w:rPr>
              <w:sz w:val="21"/>
              <w:szCs w:val="21"/>
            </w:rPr>
            <w:fldChar w:fldCharType="separate"/>
          </w:r>
          <w:r>
            <w:rPr>
              <w:sz w:val="21"/>
              <w:szCs w:val="21"/>
            </w:rPr>
            <w:t>28</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_Toc10959 </w:instrText>
          </w:r>
          <w:r>
            <w:rPr>
              <w:bCs/>
              <w:sz w:val="21"/>
              <w:szCs w:val="21"/>
              <w:lang w:val="zh-CN"/>
            </w:rPr>
            <w:fldChar w:fldCharType="separate"/>
          </w:r>
          <w:r>
            <w:rPr>
              <w:rFonts w:hint="eastAsia"/>
              <w:sz w:val="21"/>
              <w:szCs w:val="21"/>
            </w:rPr>
            <w:t>6.4 固体废物</w:t>
          </w:r>
          <w:r>
            <w:rPr>
              <w:sz w:val="21"/>
              <w:szCs w:val="21"/>
            </w:rPr>
            <w:tab/>
          </w:r>
          <w:r>
            <w:rPr>
              <w:sz w:val="21"/>
              <w:szCs w:val="21"/>
            </w:rPr>
            <w:fldChar w:fldCharType="begin"/>
          </w:r>
          <w:r>
            <w:rPr>
              <w:sz w:val="21"/>
              <w:szCs w:val="21"/>
            </w:rPr>
            <w:instrText xml:space="preserve"> PAGEREF _Toc10959 \h </w:instrText>
          </w:r>
          <w:r>
            <w:rPr>
              <w:sz w:val="21"/>
              <w:szCs w:val="21"/>
            </w:rPr>
            <w:fldChar w:fldCharType="separate"/>
          </w:r>
          <w:r>
            <w:rPr>
              <w:sz w:val="21"/>
              <w:szCs w:val="21"/>
            </w:rPr>
            <w:t>28</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_Toc13840 </w:instrText>
          </w:r>
          <w:r>
            <w:rPr>
              <w:bCs/>
              <w:sz w:val="21"/>
              <w:szCs w:val="21"/>
              <w:lang w:val="zh-CN"/>
            </w:rPr>
            <w:fldChar w:fldCharType="separate"/>
          </w:r>
          <w:r>
            <w:rPr>
              <w:rFonts w:hint="eastAsia"/>
              <w:sz w:val="21"/>
              <w:szCs w:val="21"/>
            </w:rPr>
            <w:t>6.5 油气回收系统</w:t>
          </w:r>
          <w:r>
            <w:rPr>
              <w:sz w:val="21"/>
              <w:szCs w:val="21"/>
            </w:rPr>
            <w:tab/>
          </w:r>
          <w:r>
            <w:rPr>
              <w:sz w:val="21"/>
              <w:szCs w:val="21"/>
            </w:rPr>
            <w:fldChar w:fldCharType="begin"/>
          </w:r>
          <w:r>
            <w:rPr>
              <w:sz w:val="21"/>
              <w:szCs w:val="21"/>
            </w:rPr>
            <w:instrText xml:space="preserve"> PAGEREF _Toc13840 \h </w:instrText>
          </w:r>
          <w:r>
            <w:rPr>
              <w:sz w:val="21"/>
              <w:szCs w:val="21"/>
            </w:rPr>
            <w:fldChar w:fldCharType="separate"/>
          </w:r>
          <w:r>
            <w:rPr>
              <w:sz w:val="21"/>
              <w:szCs w:val="21"/>
            </w:rPr>
            <w:t>28</w:t>
          </w:r>
          <w:r>
            <w:rPr>
              <w:sz w:val="21"/>
              <w:szCs w:val="21"/>
            </w:rPr>
            <w:fldChar w:fldCharType="end"/>
          </w:r>
          <w:r>
            <w:rPr>
              <w:bCs/>
              <w:sz w:val="21"/>
              <w:szCs w:val="21"/>
              <w:lang w:val="zh-CN"/>
            </w:rPr>
            <w:fldChar w:fldCharType="end"/>
          </w:r>
        </w:p>
        <w:p>
          <w:pPr>
            <w:pStyle w:val="13"/>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_Toc12676 </w:instrText>
          </w:r>
          <w:r>
            <w:rPr>
              <w:bCs/>
              <w:sz w:val="21"/>
              <w:szCs w:val="21"/>
              <w:lang w:val="zh-CN"/>
            </w:rPr>
            <w:fldChar w:fldCharType="separate"/>
          </w:r>
          <w:r>
            <w:rPr>
              <w:rFonts w:hint="eastAsia"/>
              <w:sz w:val="21"/>
              <w:szCs w:val="21"/>
            </w:rPr>
            <w:t>7 验收监测内容</w:t>
          </w:r>
          <w:r>
            <w:rPr>
              <w:sz w:val="21"/>
              <w:szCs w:val="21"/>
            </w:rPr>
            <w:tab/>
          </w:r>
          <w:r>
            <w:rPr>
              <w:sz w:val="21"/>
              <w:szCs w:val="21"/>
            </w:rPr>
            <w:fldChar w:fldCharType="begin"/>
          </w:r>
          <w:r>
            <w:rPr>
              <w:sz w:val="21"/>
              <w:szCs w:val="21"/>
            </w:rPr>
            <w:instrText xml:space="preserve"> PAGEREF _Toc12676 \h </w:instrText>
          </w:r>
          <w:r>
            <w:rPr>
              <w:sz w:val="21"/>
              <w:szCs w:val="21"/>
            </w:rPr>
            <w:fldChar w:fldCharType="separate"/>
          </w:r>
          <w:r>
            <w:rPr>
              <w:sz w:val="21"/>
              <w:szCs w:val="21"/>
            </w:rPr>
            <w:t>30</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_Toc28978 </w:instrText>
          </w:r>
          <w:r>
            <w:rPr>
              <w:bCs/>
              <w:sz w:val="21"/>
              <w:szCs w:val="21"/>
              <w:lang w:val="zh-CN"/>
            </w:rPr>
            <w:fldChar w:fldCharType="separate"/>
          </w:r>
          <w:r>
            <w:rPr>
              <w:rFonts w:hint="eastAsia"/>
              <w:sz w:val="21"/>
              <w:szCs w:val="21"/>
            </w:rPr>
            <w:t>7.1 废水</w:t>
          </w:r>
          <w:r>
            <w:rPr>
              <w:sz w:val="21"/>
              <w:szCs w:val="21"/>
            </w:rPr>
            <w:tab/>
          </w:r>
          <w:r>
            <w:rPr>
              <w:sz w:val="21"/>
              <w:szCs w:val="21"/>
            </w:rPr>
            <w:fldChar w:fldCharType="begin"/>
          </w:r>
          <w:r>
            <w:rPr>
              <w:sz w:val="21"/>
              <w:szCs w:val="21"/>
            </w:rPr>
            <w:instrText xml:space="preserve"> PAGEREF _Toc28978 \h </w:instrText>
          </w:r>
          <w:r>
            <w:rPr>
              <w:sz w:val="21"/>
              <w:szCs w:val="21"/>
            </w:rPr>
            <w:fldChar w:fldCharType="separate"/>
          </w:r>
          <w:r>
            <w:rPr>
              <w:sz w:val="21"/>
              <w:szCs w:val="21"/>
            </w:rPr>
            <w:t>30</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_Toc16117 </w:instrText>
          </w:r>
          <w:r>
            <w:rPr>
              <w:bCs/>
              <w:sz w:val="21"/>
              <w:szCs w:val="21"/>
              <w:lang w:val="zh-CN"/>
            </w:rPr>
            <w:fldChar w:fldCharType="separate"/>
          </w:r>
          <w:r>
            <w:rPr>
              <w:rFonts w:hint="eastAsia"/>
              <w:sz w:val="21"/>
              <w:szCs w:val="21"/>
            </w:rPr>
            <w:t>7.2 废气</w:t>
          </w:r>
          <w:r>
            <w:rPr>
              <w:sz w:val="21"/>
              <w:szCs w:val="21"/>
            </w:rPr>
            <w:tab/>
          </w:r>
          <w:r>
            <w:rPr>
              <w:sz w:val="21"/>
              <w:szCs w:val="21"/>
            </w:rPr>
            <w:fldChar w:fldCharType="begin"/>
          </w:r>
          <w:r>
            <w:rPr>
              <w:sz w:val="21"/>
              <w:szCs w:val="21"/>
            </w:rPr>
            <w:instrText xml:space="preserve"> PAGEREF _Toc16117 \h </w:instrText>
          </w:r>
          <w:r>
            <w:rPr>
              <w:sz w:val="21"/>
              <w:szCs w:val="21"/>
            </w:rPr>
            <w:fldChar w:fldCharType="separate"/>
          </w:r>
          <w:r>
            <w:rPr>
              <w:sz w:val="21"/>
              <w:szCs w:val="21"/>
            </w:rPr>
            <w:t>30</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_Toc1657 </w:instrText>
          </w:r>
          <w:r>
            <w:rPr>
              <w:bCs/>
              <w:sz w:val="21"/>
              <w:szCs w:val="21"/>
              <w:lang w:val="zh-CN"/>
            </w:rPr>
            <w:fldChar w:fldCharType="separate"/>
          </w:r>
          <w:r>
            <w:rPr>
              <w:rFonts w:hint="eastAsia"/>
              <w:sz w:val="21"/>
              <w:szCs w:val="21"/>
            </w:rPr>
            <w:t>7.3 厂界噪声监测</w:t>
          </w:r>
          <w:r>
            <w:rPr>
              <w:sz w:val="21"/>
              <w:szCs w:val="21"/>
            </w:rPr>
            <w:tab/>
          </w:r>
          <w:r>
            <w:rPr>
              <w:sz w:val="21"/>
              <w:szCs w:val="21"/>
            </w:rPr>
            <w:fldChar w:fldCharType="begin"/>
          </w:r>
          <w:r>
            <w:rPr>
              <w:sz w:val="21"/>
              <w:szCs w:val="21"/>
            </w:rPr>
            <w:instrText xml:space="preserve"> PAGEREF _Toc1657 \h </w:instrText>
          </w:r>
          <w:r>
            <w:rPr>
              <w:sz w:val="21"/>
              <w:szCs w:val="21"/>
            </w:rPr>
            <w:fldChar w:fldCharType="separate"/>
          </w:r>
          <w:r>
            <w:rPr>
              <w:sz w:val="21"/>
              <w:szCs w:val="21"/>
            </w:rPr>
            <w:t>30</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_Toc22521 </w:instrText>
          </w:r>
          <w:r>
            <w:rPr>
              <w:bCs/>
              <w:sz w:val="21"/>
              <w:szCs w:val="21"/>
              <w:lang w:val="zh-CN"/>
            </w:rPr>
            <w:fldChar w:fldCharType="separate"/>
          </w:r>
          <w:r>
            <w:rPr>
              <w:rFonts w:hint="eastAsia"/>
              <w:sz w:val="21"/>
              <w:szCs w:val="21"/>
            </w:rPr>
            <w:t>7.4 油气回收</w:t>
          </w:r>
          <w:r>
            <w:rPr>
              <w:sz w:val="21"/>
              <w:szCs w:val="21"/>
            </w:rPr>
            <w:tab/>
          </w:r>
          <w:r>
            <w:rPr>
              <w:sz w:val="21"/>
              <w:szCs w:val="21"/>
            </w:rPr>
            <w:fldChar w:fldCharType="begin"/>
          </w:r>
          <w:r>
            <w:rPr>
              <w:sz w:val="21"/>
              <w:szCs w:val="21"/>
            </w:rPr>
            <w:instrText xml:space="preserve"> PAGEREF _Toc22521 \h </w:instrText>
          </w:r>
          <w:r>
            <w:rPr>
              <w:sz w:val="21"/>
              <w:szCs w:val="21"/>
            </w:rPr>
            <w:fldChar w:fldCharType="separate"/>
          </w:r>
          <w:r>
            <w:rPr>
              <w:sz w:val="21"/>
              <w:szCs w:val="21"/>
            </w:rPr>
            <w:t>31</w:t>
          </w:r>
          <w:r>
            <w:rPr>
              <w:sz w:val="21"/>
              <w:szCs w:val="21"/>
            </w:rPr>
            <w:fldChar w:fldCharType="end"/>
          </w:r>
          <w:r>
            <w:rPr>
              <w:bCs/>
              <w:sz w:val="21"/>
              <w:szCs w:val="21"/>
              <w:lang w:val="zh-CN"/>
            </w:rPr>
            <w:fldChar w:fldCharType="end"/>
          </w:r>
        </w:p>
        <w:p>
          <w:pPr>
            <w:pStyle w:val="13"/>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_Toc21560 </w:instrText>
          </w:r>
          <w:r>
            <w:rPr>
              <w:bCs/>
              <w:sz w:val="21"/>
              <w:szCs w:val="21"/>
              <w:lang w:val="zh-CN"/>
            </w:rPr>
            <w:fldChar w:fldCharType="separate"/>
          </w:r>
          <w:r>
            <w:rPr>
              <w:rFonts w:hint="eastAsia"/>
              <w:sz w:val="21"/>
              <w:szCs w:val="21"/>
            </w:rPr>
            <w:t>8 质量保证和质量控制</w:t>
          </w:r>
          <w:r>
            <w:rPr>
              <w:sz w:val="21"/>
              <w:szCs w:val="21"/>
            </w:rPr>
            <w:tab/>
          </w:r>
          <w:r>
            <w:rPr>
              <w:sz w:val="21"/>
              <w:szCs w:val="21"/>
            </w:rPr>
            <w:fldChar w:fldCharType="begin"/>
          </w:r>
          <w:r>
            <w:rPr>
              <w:sz w:val="21"/>
              <w:szCs w:val="21"/>
            </w:rPr>
            <w:instrText xml:space="preserve"> PAGEREF _Toc21560 \h </w:instrText>
          </w:r>
          <w:r>
            <w:rPr>
              <w:sz w:val="21"/>
              <w:szCs w:val="21"/>
            </w:rPr>
            <w:fldChar w:fldCharType="separate"/>
          </w:r>
          <w:r>
            <w:rPr>
              <w:sz w:val="21"/>
              <w:szCs w:val="21"/>
            </w:rPr>
            <w:t>34</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_Toc5333 </w:instrText>
          </w:r>
          <w:r>
            <w:rPr>
              <w:bCs/>
              <w:sz w:val="21"/>
              <w:szCs w:val="21"/>
              <w:lang w:val="zh-CN"/>
            </w:rPr>
            <w:fldChar w:fldCharType="separate"/>
          </w:r>
          <w:r>
            <w:rPr>
              <w:rFonts w:hint="eastAsia"/>
              <w:sz w:val="21"/>
              <w:szCs w:val="21"/>
            </w:rPr>
            <w:t>8.1 监测分析方法</w:t>
          </w:r>
          <w:r>
            <w:rPr>
              <w:sz w:val="21"/>
              <w:szCs w:val="21"/>
            </w:rPr>
            <w:tab/>
          </w:r>
          <w:r>
            <w:rPr>
              <w:sz w:val="21"/>
              <w:szCs w:val="21"/>
            </w:rPr>
            <w:fldChar w:fldCharType="begin"/>
          </w:r>
          <w:r>
            <w:rPr>
              <w:sz w:val="21"/>
              <w:szCs w:val="21"/>
            </w:rPr>
            <w:instrText xml:space="preserve"> PAGEREF _Toc5333 \h </w:instrText>
          </w:r>
          <w:r>
            <w:rPr>
              <w:sz w:val="21"/>
              <w:szCs w:val="21"/>
            </w:rPr>
            <w:fldChar w:fldCharType="separate"/>
          </w:r>
          <w:r>
            <w:rPr>
              <w:sz w:val="21"/>
              <w:szCs w:val="21"/>
            </w:rPr>
            <w:t>34</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_Toc29870 </w:instrText>
          </w:r>
          <w:r>
            <w:rPr>
              <w:bCs/>
              <w:sz w:val="21"/>
              <w:szCs w:val="21"/>
              <w:lang w:val="zh-CN"/>
            </w:rPr>
            <w:fldChar w:fldCharType="separate"/>
          </w:r>
          <w:r>
            <w:rPr>
              <w:rFonts w:hint="eastAsia"/>
              <w:sz w:val="21"/>
              <w:szCs w:val="21"/>
            </w:rPr>
            <w:t>8</w:t>
          </w:r>
          <w:r>
            <w:rPr>
              <w:sz w:val="21"/>
              <w:szCs w:val="21"/>
            </w:rPr>
            <w:t>.2</w:t>
          </w:r>
          <w:r>
            <w:rPr>
              <w:rFonts w:hint="eastAsia"/>
              <w:sz w:val="21"/>
              <w:szCs w:val="21"/>
            </w:rPr>
            <w:t>人员资质</w:t>
          </w:r>
          <w:r>
            <w:rPr>
              <w:sz w:val="21"/>
              <w:szCs w:val="21"/>
            </w:rPr>
            <w:tab/>
          </w:r>
          <w:r>
            <w:rPr>
              <w:sz w:val="21"/>
              <w:szCs w:val="21"/>
            </w:rPr>
            <w:fldChar w:fldCharType="begin"/>
          </w:r>
          <w:r>
            <w:rPr>
              <w:sz w:val="21"/>
              <w:szCs w:val="21"/>
            </w:rPr>
            <w:instrText xml:space="preserve"> PAGEREF _Toc29870 \h </w:instrText>
          </w:r>
          <w:r>
            <w:rPr>
              <w:sz w:val="21"/>
              <w:szCs w:val="21"/>
            </w:rPr>
            <w:fldChar w:fldCharType="separate"/>
          </w:r>
          <w:r>
            <w:rPr>
              <w:sz w:val="21"/>
              <w:szCs w:val="21"/>
            </w:rPr>
            <w:t>35</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_Toc14280 </w:instrText>
          </w:r>
          <w:r>
            <w:rPr>
              <w:bCs/>
              <w:sz w:val="21"/>
              <w:szCs w:val="21"/>
              <w:lang w:val="zh-CN"/>
            </w:rPr>
            <w:fldChar w:fldCharType="separate"/>
          </w:r>
          <w:r>
            <w:rPr>
              <w:rFonts w:hint="eastAsia"/>
              <w:sz w:val="21"/>
              <w:szCs w:val="21"/>
            </w:rPr>
            <w:t>8</w:t>
          </w:r>
          <w:r>
            <w:rPr>
              <w:sz w:val="21"/>
              <w:szCs w:val="21"/>
            </w:rPr>
            <w:t>.3</w:t>
          </w:r>
          <w:r>
            <w:rPr>
              <w:rFonts w:hint="eastAsia"/>
              <w:sz w:val="21"/>
              <w:szCs w:val="21"/>
            </w:rPr>
            <w:t>监测分析过程中的质量保证和质量控制</w:t>
          </w:r>
          <w:r>
            <w:rPr>
              <w:sz w:val="21"/>
              <w:szCs w:val="21"/>
            </w:rPr>
            <w:tab/>
          </w:r>
          <w:r>
            <w:rPr>
              <w:sz w:val="21"/>
              <w:szCs w:val="21"/>
            </w:rPr>
            <w:fldChar w:fldCharType="begin"/>
          </w:r>
          <w:r>
            <w:rPr>
              <w:sz w:val="21"/>
              <w:szCs w:val="21"/>
            </w:rPr>
            <w:instrText xml:space="preserve"> PAGEREF _Toc14280 \h </w:instrText>
          </w:r>
          <w:r>
            <w:rPr>
              <w:sz w:val="21"/>
              <w:szCs w:val="21"/>
            </w:rPr>
            <w:fldChar w:fldCharType="separate"/>
          </w:r>
          <w:r>
            <w:rPr>
              <w:sz w:val="21"/>
              <w:szCs w:val="21"/>
            </w:rPr>
            <w:t>35</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_Toc12153 </w:instrText>
          </w:r>
          <w:r>
            <w:rPr>
              <w:bCs/>
              <w:sz w:val="21"/>
              <w:szCs w:val="21"/>
              <w:lang w:val="zh-CN"/>
            </w:rPr>
            <w:fldChar w:fldCharType="separate"/>
          </w:r>
          <w:r>
            <w:rPr>
              <w:rFonts w:hint="eastAsia"/>
              <w:sz w:val="21"/>
              <w:szCs w:val="21"/>
            </w:rPr>
            <w:t>8</w:t>
          </w:r>
          <w:r>
            <w:rPr>
              <w:sz w:val="21"/>
              <w:szCs w:val="21"/>
            </w:rPr>
            <w:t>.</w:t>
          </w:r>
          <w:r>
            <w:rPr>
              <w:rFonts w:hint="eastAsia"/>
              <w:sz w:val="21"/>
              <w:szCs w:val="21"/>
            </w:rPr>
            <w:t>4油气回收装置</w:t>
          </w:r>
          <w:r>
            <w:rPr>
              <w:sz w:val="21"/>
              <w:szCs w:val="21"/>
            </w:rPr>
            <w:tab/>
          </w:r>
          <w:r>
            <w:rPr>
              <w:sz w:val="21"/>
              <w:szCs w:val="21"/>
            </w:rPr>
            <w:fldChar w:fldCharType="begin"/>
          </w:r>
          <w:r>
            <w:rPr>
              <w:sz w:val="21"/>
              <w:szCs w:val="21"/>
            </w:rPr>
            <w:instrText xml:space="preserve"> PAGEREF _Toc12153 \h </w:instrText>
          </w:r>
          <w:r>
            <w:rPr>
              <w:sz w:val="21"/>
              <w:szCs w:val="21"/>
            </w:rPr>
            <w:fldChar w:fldCharType="separate"/>
          </w:r>
          <w:r>
            <w:rPr>
              <w:sz w:val="21"/>
              <w:szCs w:val="21"/>
            </w:rPr>
            <w:t>39</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_Toc2712 </w:instrText>
          </w:r>
          <w:r>
            <w:rPr>
              <w:bCs/>
              <w:sz w:val="21"/>
              <w:szCs w:val="21"/>
              <w:lang w:val="zh-CN"/>
            </w:rPr>
            <w:fldChar w:fldCharType="separate"/>
          </w:r>
          <w:r>
            <w:rPr>
              <w:rFonts w:hint="eastAsia"/>
              <w:sz w:val="21"/>
              <w:szCs w:val="21"/>
            </w:rPr>
            <w:t>8.4.1人员</w:t>
          </w:r>
          <w:r>
            <w:rPr>
              <w:sz w:val="21"/>
              <w:szCs w:val="21"/>
            </w:rPr>
            <w:tab/>
          </w:r>
          <w:r>
            <w:rPr>
              <w:sz w:val="21"/>
              <w:szCs w:val="21"/>
            </w:rPr>
            <w:fldChar w:fldCharType="begin"/>
          </w:r>
          <w:r>
            <w:rPr>
              <w:sz w:val="21"/>
              <w:szCs w:val="21"/>
            </w:rPr>
            <w:instrText xml:space="preserve"> PAGEREF _Toc2712 \h </w:instrText>
          </w:r>
          <w:r>
            <w:rPr>
              <w:sz w:val="21"/>
              <w:szCs w:val="21"/>
            </w:rPr>
            <w:fldChar w:fldCharType="separate"/>
          </w:r>
          <w:r>
            <w:rPr>
              <w:sz w:val="21"/>
              <w:szCs w:val="21"/>
            </w:rPr>
            <w:t>39</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_Toc25367 </w:instrText>
          </w:r>
          <w:r>
            <w:rPr>
              <w:bCs/>
              <w:sz w:val="21"/>
              <w:szCs w:val="21"/>
              <w:lang w:val="zh-CN"/>
            </w:rPr>
            <w:fldChar w:fldCharType="separate"/>
          </w:r>
          <w:r>
            <w:rPr>
              <w:rFonts w:hint="eastAsia"/>
              <w:sz w:val="21"/>
              <w:szCs w:val="21"/>
            </w:rPr>
            <w:t>8.4.2仪器</w:t>
          </w:r>
          <w:r>
            <w:rPr>
              <w:sz w:val="21"/>
              <w:szCs w:val="21"/>
            </w:rPr>
            <w:tab/>
          </w:r>
          <w:r>
            <w:rPr>
              <w:sz w:val="21"/>
              <w:szCs w:val="21"/>
            </w:rPr>
            <w:fldChar w:fldCharType="begin"/>
          </w:r>
          <w:r>
            <w:rPr>
              <w:sz w:val="21"/>
              <w:szCs w:val="21"/>
            </w:rPr>
            <w:instrText xml:space="preserve"> PAGEREF _Toc25367 \h </w:instrText>
          </w:r>
          <w:r>
            <w:rPr>
              <w:sz w:val="21"/>
              <w:szCs w:val="21"/>
            </w:rPr>
            <w:fldChar w:fldCharType="separate"/>
          </w:r>
          <w:r>
            <w:rPr>
              <w:sz w:val="21"/>
              <w:szCs w:val="21"/>
            </w:rPr>
            <w:t>39</w:t>
          </w:r>
          <w:r>
            <w:rPr>
              <w:sz w:val="21"/>
              <w:szCs w:val="21"/>
            </w:rPr>
            <w:fldChar w:fldCharType="end"/>
          </w:r>
          <w:r>
            <w:rPr>
              <w:bCs/>
              <w:sz w:val="21"/>
              <w:szCs w:val="21"/>
              <w:lang w:val="zh-CN"/>
            </w:rPr>
            <w:fldChar w:fldCharType="end"/>
          </w:r>
        </w:p>
        <w:p>
          <w:pPr>
            <w:pStyle w:val="13"/>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_Toc29810 </w:instrText>
          </w:r>
          <w:r>
            <w:rPr>
              <w:bCs/>
              <w:sz w:val="21"/>
              <w:szCs w:val="21"/>
              <w:lang w:val="zh-CN"/>
            </w:rPr>
            <w:fldChar w:fldCharType="separate"/>
          </w:r>
          <w:r>
            <w:rPr>
              <w:rFonts w:hint="eastAsia"/>
              <w:sz w:val="21"/>
              <w:szCs w:val="21"/>
            </w:rPr>
            <w:t>9 验收监测结果</w:t>
          </w:r>
          <w:r>
            <w:rPr>
              <w:sz w:val="21"/>
              <w:szCs w:val="21"/>
            </w:rPr>
            <w:tab/>
          </w:r>
          <w:r>
            <w:rPr>
              <w:sz w:val="21"/>
              <w:szCs w:val="21"/>
            </w:rPr>
            <w:fldChar w:fldCharType="begin"/>
          </w:r>
          <w:r>
            <w:rPr>
              <w:sz w:val="21"/>
              <w:szCs w:val="21"/>
            </w:rPr>
            <w:instrText xml:space="preserve"> PAGEREF _Toc29810 \h </w:instrText>
          </w:r>
          <w:r>
            <w:rPr>
              <w:sz w:val="21"/>
              <w:szCs w:val="21"/>
            </w:rPr>
            <w:fldChar w:fldCharType="separate"/>
          </w:r>
          <w:r>
            <w:rPr>
              <w:sz w:val="21"/>
              <w:szCs w:val="21"/>
            </w:rPr>
            <w:t>40</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_Toc31134 </w:instrText>
          </w:r>
          <w:r>
            <w:rPr>
              <w:bCs/>
              <w:sz w:val="21"/>
              <w:szCs w:val="21"/>
              <w:lang w:val="zh-CN"/>
            </w:rPr>
            <w:fldChar w:fldCharType="separate"/>
          </w:r>
          <w:r>
            <w:rPr>
              <w:rFonts w:hint="eastAsia"/>
              <w:sz w:val="21"/>
              <w:szCs w:val="21"/>
            </w:rPr>
            <w:t>9.1 生产工况</w:t>
          </w:r>
          <w:r>
            <w:rPr>
              <w:sz w:val="21"/>
              <w:szCs w:val="21"/>
            </w:rPr>
            <w:tab/>
          </w:r>
          <w:r>
            <w:rPr>
              <w:sz w:val="21"/>
              <w:szCs w:val="21"/>
            </w:rPr>
            <w:fldChar w:fldCharType="begin"/>
          </w:r>
          <w:r>
            <w:rPr>
              <w:sz w:val="21"/>
              <w:szCs w:val="21"/>
            </w:rPr>
            <w:instrText xml:space="preserve"> PAGEREF _Toc31134 \h </w:instrText>
          </w:r>
          <w:r>
            <w:rPr>
              <w:sz w:val="21"/>
              <w:szCs w:val="21"/>
            </w:rPr>
            <w:fldChar w:fldCharType="separate"/>
          </w:r>
          <w:r>
            <w:rPr>
              <w:sz w:val="21"/>
              <w:szCs w:val="21"/>
            </w:rPr>
            <w:t>40</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_Toc13936 </w:instrText>
          </w:r>
          <w:r>
            <w:rPr>
              <w:bCs/>
              <w:sz w:val="21"/>
              <w:szCs w:val="21"/>
              <w:lang w:val="zh-CN"/>
            </w:rPr>
            <w:fldChar w:fldCharType="separate"/>
          </w:r>
          <w:r>
            <w:rPr>
              <w:rFonts w:hint="eastAsia"/>
              <w:sz w:val="21"/>
              <w:szCs w:val="21"/>
            </w:rPr>
            <w:t>9.2 环保设施调试运行效果</w:t>
          </w:r>
          <w:r>
            <w:rPr>
              <w:sz w:val="21"/>
              <w:szCs w:val="21"/>
            </w:rPr>
            <w:tab/>
          </w:r>
          <w:r>
            <w:rPr>
              <w:sz w:val="21"/>
              <w:szCs w:val="21"/>
            </w:rPr>
            <w:fldChar w:fldCharType="begin"/>
          </w:r>
          <w:r>
            <w:rPr>
              <w:sz w:val="21"/>
              <w:szCs w:val="21"/>
            </w:rPr>
            <w:instrText xml:space="preserve"> PAGEREF _Toc13936 \h </w:instrText>
          </w:r>
          <w:r>
            <w:rPr>
              <w:sz w:val="21"/>
              <w:szCs w:val="21"/>
            </w:rPr>
            <w:fldChar w:fldCharType="separate"/>
          </w:r>
          <w:r>
            <w:rPr>
              <w:sz w:val="21"/>
              <w:szCs w:val="21"/>
            </w:rPr>
            <w:t>40</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_Toc24745 </w:instrText>
          </w:r>
          <w:r>
            <w:rPr>
              <w:bCs/>
              <w:sz w:val="21"/>
              <w:szCs w:val="21"/>
              <w:lang w:val="zh-CN"/>
            </w:rPr>
            <w:fldChar w:fldCharType="separate"/>
          </w:r>
          <w:r>
            <w:rPr>
              <w:rFonts w:hint="eastAsia"/>
              <w:sz w:val="21"/>
              <w:szCs w:val="21"/>
            </w:rPr>
            <w:t>9.2.1 废水</w:t>
          </w:r>
          <w:r>
            <w:rPr>
              <w:sz w:val="21"/>
              <w:szCs w:val="21"/>
            </w:rPr>
            <w:tab/>
          </w:r>
          <w:r>
            <w:rPr>
              <w:sz w:val="21"/>
              <w:szCs w:val="21"/>
            </w:rPr>
            <w:fldChar w:fldCharType="begin"/>
          </w:r>
          <w:r>
            <w:rPr>
              <w:sz w:val="21"/>
              <w:szCs w:val="21"/>
            </w:rPr>
            <w:instrText xml:space="preserve"> PAGEREF _Toc24745 \h </w:instrText>
          </w:r>
          <w:r>
            <w:rPr>
              <w:sz w:val="21"/>
              <w:szCs w:val="21"/>
            </w:rPr>
            <w:fldChar w:fldCharType="separate"/>
          </w:r>
          <w:r>
            <w:rPr>
              <w:sz w:val="21"/>
              <w:szCs w:val="21"/>
            </w:rPr>
            <w:t>40</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_Toc12001 </w:instrText>
          </w:r>
          <w:r>
            <w:rPr>
              <w:bCs/>
              <w:sz w:val="21"/>
              <w:szCs w:val="21"/>
              <w:lang w:val="zh-CN"/>
            </w:rPr>
            <w:fldChar w:fldCharType="separate"/>
          </w:r>
          <w:r>
            <w:rPr>
              <w:rFonts w:hint="eastAsia"/>
              <w:sz w:val="21"/>
              <w:szCs w:val="21"/>
            </w:rPr>
            <w:t>9.2.2 废气</w:t>
          </w:r>
          <w:r>
            <w:rPr>
              <w:sz w:val="21"/>
              <w:szCs w:val="21"/>
            </w:rPr>
            <w:tab/>
          </w:r>
          <w:r>
            <w:rPr>
              <w:sz w:val="21"/>
              <w:szCs w:val="21"/>
            </w:rPr>
            <w:fldChar w:fldCharType="begin"/>
          </w:r>
          <w:r>
            <w:rPr>
              <w:sz w:val="21"/>
              <w:szCs w:val="21"/>
            </w:rPr>
            <w:instrText xml:space="preserve"> PAGEREF _Toc12001 \h </w:instrText>
          </w:r>
          <w:r>
            <w:rPr>
              <w:sz w:val="21"/>
              <w:szCs w:val="21"/>
            </w:rPr>
            <w:fldChar w:fldCharType="separate"/>
          </w:r>
          <w:r>
            <w:rPr>
              <w:sz w:val="21"/>
              <w:szCs w:val="21"/>
            </w:rPr>
            <w:t>41</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_Toc20671 </w:instrText>
          </w:r>
          <w:r>
            <w:rPr>
              <w:bCs/>
              <w:sz w:val="21"/>
              <w:szCs w:val="21"/>
              <w:lang w:val="zh-CN"/>
            </w:rPr>
            <w:fldChar w:fldCharType="separate"/>
          </w:r>
          <w:r>
            <w:rPr>
              <w:rFonts w:hint="eastAsia"/>
              <w:sz w:val="21"/>
              <w:szCs w:val="21"/>
            </w:rPr>
            <w:t>9.2.3 噪声</w:t>
          </w:r>
          <w:r>
            <w:rPr>
              <w:sz w:val="21"/>
              <w:szCs w:val="21"/>
            </w:rPr>
            <w:tab/>
          </w:r>
          <w:r>
            <w:rPr>
              <w:sz w:val="21"/>
              <w:szCs w:val="21"/>
            </w:rPr>
            <w:fldChar w:fldCharType="begin"/>
          </w:r>
          <w:r>
            <w:rPr>
              <w:sz w:val="21"/>
              <w:szCs w:val="21"/>
            </w:rPr>
            <w:instrText xml:space="preserve"> PAGEREF _Toc20671 \h </w:instrText>
          </w:r>
          <w:r>
            <w:rPr>
              <w:sz w:val="21"/>
              <w:szCs w:val="21"/>
            </w:rPr>
            <w:fldChar w:fldCharType="separate"/>
          </w:r>
          <w:r>
            <w:rPr>
              <w:sz w:val="21"/>
              <w:szCs w:val="21"/>
            </w:rPr>
            <w:t>42</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_Toc11265 </w:instrText>
          </w:r>
          <w:r>
            <w:rPr>
              <w:bCs/>
              <w:sz w:val="21"/>
              <w:szCs w:val="21"/>
              <w:lang w:val="zh-CN"/>
            </w:rPr>
            <w:fldChar w:fldCharType="separate"/>
          </w:r>
          <w:r>
            <w:rPr>
              <w:rFonts w:hint="eastAsia"/>
              <w:sz w:val="21"/>
              <w:szCs w:val="21"/>
            </w:rPr>
            <w:t>9.2.4 油气回收</w:t>
          </w:r>
          <w:r>
            <w:rPr>
              <w:sz w:val="21"/>
              <w:szCs w:val="21"/>
            </w:rPr>
            <w:tab/>
          </w:r>
          <w:r>
            <w:rPr>
              <w:sz w:val="21"/>
              <w:szCs w:val="21"/>
            </w:rPr>
            <w:fldChar w:fldCharType="begin"/>
          </w:r>
          <w:r>
            <w:rPr>
              <w:sz w:val="21"/>
              <w:szCs w:val="21"/>
            </w:rPr>
            <w:instrText xml:space="preserve"> PAGEREF _Toc11265 \h </w:instrText>
          </w:r>
          <w:r>
            <w:rPr>
              <w:sz w:val="21"/>
              <w:szCs w:val="21"/>
            </w:rPr>
            <w:fldChar w:fldCharType="separate"/>
          </w:r>
          <w:r>
            <w:rPr>
              <w:sz w:val="21"/>
              <w:szCs w:val="21"/>
            </w:rPr>
            <w:t>43</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_Toc25689 </w:instrText>
          </w:r>
          <w:r>
            <w:rPr>
              <w:bCs/>
              <w:sz w:val="21"/>
              <w:szCs w:val="21"/>
              <w:lang w:val="zh-CN"/>
            </w:rPr>
            <w:fldChar w:fldCharType="separate"/>
          </w:r>
          <w:r>
            <w:rPr>
              <w:rFonts w:hint="eastAsia"/>
              <w:sz w:val="21"/>
              <w:szCs w:val="21"/>
            </w:rPr>
            <w:t>9.3 污染物排放总量核算</w:t>
          </w:r>
          <w:r>
            <w:rPr>
              <w:sz w:val="21"/>
              <w:szCs w:val="21"/>
            </w:rPr>
            <w:tab/>
          </w:r>
          <w:r>
            <w:rPr>
              <w:sz w:val="21"/>
              <w:szCs w:val="21"/>
            </w:rPr>
            <w:fldChar w:fldCharType="begin"/>
          </w:r>
          <w:r>
            <w:rPr>
              <w:sz w:val="21"/>
              <w:szCs w:val="21"/>
            </w:rPr>
            <w:instrText xml:space="preserve"> PAGEREF _Toc25689 \h </w:instrText>
          </w:r>
          <w:r>
            <w:rPr>
              <w:sz w:val="21"/>
              <w:szCs w:val="21"/>
            </w:rPr>
            <w:fldChar w:fldCharType="separate"/>
          </w:r>
          <w:r>
            <w:rPr>
              <w:sz w:val="21"/>
              <w:szCs w:val="21"/>
            </w:rPr>
            <w:t>45</w:t>
          </w:r>
          <w:r>
            <w:rPr>
              <w:sz w:val="21"/>
              <w:szCs w:val="21"/>
            </w:rPr>
            <w:fldChar w:fldCharType="end"/>
          </w:r>
          <w:r>
            <w:rPr>
              <w:bCs/>
              <w:sz w:val="21"/>
              <w:szCs w:val="21"/>
              <w:lang w:val="zh-CN"/>
            </w:rPr>
            <w:fldChar w:fldCharType="end"/>
          </w:r>
        </w:p>
        <w:p>
          <w:pPr>
            <w:pStyle w:val="13"/>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_Toc30441 </w:instrText>
          </w:r>
          <w:r>
            <w:rPr>
              <w:bCs/>
              <w:sz w:val="21"/>
              <w:szCs w:val="21"/>
              <w:lang w:val="zh-CN"/>
            </w:rPr>
            <w:fldChar w:fldCharType="separate"/>
          </w:r>
          <w:r>
            <w:rPr>
              <w:rFonts w:hint="eastAsia"/>
              <w:sz w:val="21"/>
              <w:szCs w:val="21"/>
            </w:rPr>
            <w:t>10 验收监测结论</w:t>
          </w:r>
          <w:r>
            <w:rPr>
              <w:sz w:val="21"/>
              <w:szCs w:val="21"/>
            </w:rPr>
            <w:tab/>
          </w:r>
          <w:r>
            <w:rPr>
              <w:sz w:val="21"/>
              <w:szCs w:val="21"/>
            </w:rPr>
            <w:fldChar w:fldCharType="begin"/>
          </w:r>
          <w:r>
            <w:rPr>
              <w:sz w:val="21"/>
              <w:szCs w:val="21"/>
            </w:rPr>
            <w:instrText xml:space="preserve"> PAGEREF _Toc30441 \h </w:instrText>
          </w:r>
          <w:r>
            <w:rPr>
              <w:sz w:val="21"/>
              <w:szCs w:val="21"/>
            </w:rPr>
            <w:fldChar w:fldCharType="separate"/>
          </w:r>
          <w:r>
            <w:rPr>
              <w:sz w:val="21"/>
              <w:szCs w:val="21"/>
            </w:rPr>
            <w:t>47</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_Toc32420 </w:instrText>
          </w:r>
          <w:r>
            <w:rPr>
              <w:bCs/>
              <w:sz w:val="21"/>
              <w:szCs w:val="21"/>
              <w:lang w:val="zh-CN"/>
            </w:rPr>
            <w:fldChar w:fldCharType="separate"/>
          </w:r>
          <w:r>
            <w:rPr>
              <w:rFonts w:hint="eastAsia"/>
              <w:sz w:val="21"/>
              <w:szCs w:val="21"/>
            </w:rPr>
            <w:t>10.1 环保设施调试运行效果</w:t>
          </w:r>
          <w:r>
            <w:rPr>
              <w:sz w:val="21"/>
              <w:szCs w:val="21"/>
            </w:rPr>
            <w:tab/>
          </w:r>
          <w:r>
            <w:rPr>
              <w:sz w:val="21"/>
              <w:szCs w:val="21"/>
            </w:rPr>
            <w:fldChar w:fldCharType="begin"/>
          </w:r>
          <w:r>
            <w:rPr>
              <w:sz w:val="21"/>
              <w:szCs w:val="21"/>
            </w:rPr>
            <w:instrText xml:space="preserve"> PAGEREF _Toc32420 \h </w:instrText>
          </w:r>
          <w:r>
            <w:rPr>
              <w:sz w:val="21"/>
              <w:szCs w:val="21"/>
            </w:rPr>
            <w:fldChar w:fldCharType="separate"/>
          </w:r>
          <w:r>
            <w:rPr>
              <w:sz w:val="21"/>
              <w:szCs w:val="21"/>
            </w:rPr>
            <w:t>47</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_Toc4769 </w:instrText>
          </w:r>
          <w:r>
            <w:rPr>
              <w:bCs/>
              <w:sz w:val="21"/>
              <w:szCs w:val="21"/>
              <w:lang w:val="zh-CN"/>
            </w:rPr>
            <w:fldChar w:fldCharType="separate"/>
          </w:r>
          <w:r>
            <w:rPr>
              <w:rFonts w:hint="eastAsia"/>
              <w:sz w:val="21"/>
              <w:szCs w:val="21"/>
            </w:rPr>
            <w:t>10.1.1 废水</w:t>
          </w:r>
          <w:r>
            <w:rPr>
              <w:sz w:val="21"/>
              <w:szCs w:val="21"/>
            </w:rPr>
            <w:tab/>
          </w:r>
          <w:r>
            <w:rPr>
              <w:sz w:val="21"/>
              <w:szCs w:val="21"/>
            </w:rPr>
            <w:fldChar w:fldCharType="begin"/>
          </w:r>
          <w:r>
            <w:rPr>
              <w:sz w:val="21"/>
              <w:szCs w:val="21"/>
            </w:rPr>
            <w:instrText xml:space="preserve"> PAGEREF _Toc4769 \h </w:instrText>
          </w:r>
          <w:r>
            <w:rPr>
              <w:sz w:val="21"/>
              <w:szCs w:val="21"/>
            </w:rPr>
            <w:fldChar w:fldCharType="separate"/>
          </w:r>
          <w:r>
            <w:rPr>
              <w:sz w:val="21"/>
              <w:szCs w:val="21"/>
            </w:rPr>
            <w:t>47</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_Toc22738 </w:instrText>
          </w:r>
          <w:r>
            <w:rPr>
              <w:bCs/>
              <w:sz w:val="21"/>
              <w:szCs w:val="21"/>
              <w:lang w:val="zh-CN"/>
            </w:rPr>
            <w:fldChar w:fldCharType="separate"/>
          </w:r>
          <w:r>
            <w:rPr>
              <w:rFonts w:hint="eastAsia"/>
              <w:sz w:val="21"/>
              <w:szCs w:val="21"/>
            </w:rPr>
            <w:t>10.1.2 废气</w:t>
          </w:r>
          <w:r>
            <w:rPr>
              <w:sz w:val="21"/>
              <w:szCs w:val="21"/>
            </w:rPr>
            <w:tab/>
          </w:r>
          <w:r>
            <w:rPr>
              <w:sz w:val="21"/>
              <w:szCs w:val="21"/>
            </w:rPr>
            <w:fldChar w:fldCharType="begin"/>
          </w:r>
          <w:r>
            <w:rPr>
              <w:sz w:val="21"/>
              <w:szCs w:val="21"/>
            </w:rPr>
            <w:instrText xml:space="preserve"> PAGEREF _Toc22738 \h </w:instrText>
          </w:r>
          <w:r>
            <w:rPr>
              <w:sz w:val="21"/>
              <w:szCs w:val="21"/>
            </w:rPr>
            <w:fldChar w:fldCharType="separate"/>
          </w:r>
          <w:r>
            <w:rPr>
              <w:sz w:val="21"/>
              <w:szCs w:val="21"/>
            </w:rPr>
            <w:t>47</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_Toc13493 </w:instrText>
          </w:r>
          <w:r>
            <w:rPr>
              <w:bCs/>
              <w:sz w:val="21"/>
              <w:szCs w:val="21"/>
              <w:lang w:val="zh-CN"/>
            </w:rPr>
            <w:fldChar w:fldCharType="separate"/>
          </w:r>
          <w:r>
            <w:rPr>
              <w:rFonts w:hint="eastAsia"/>
              <w:sz w:val="21"/>
              <w:szCs w:val="21"/>
            </w:rPr>
            <w:t>10.1.3 噪声</w:t>
          </w:r>
          <w:r>
            <w:rPr>
              <w:sz w:val="21"/>
              <w:szCs w:val="21"/>
            </w:rPr>
            <w:tab/>
          </w:r>
          <w:r>
            <w:rPr>
              <w:sz w:val="21"/>
              <w:szCs w:val="21"/>
            </w:rPr>
            <w:fldChar w:fldCharType="begin"/>
          </w:r>
          <w:r>
            <w:rPr>
              <w:sz w:val="21"/>
              <w:szCs w:val="21"/>
            </w:rPr>
            <w:instrText xml:space="preserve"> PAGEREF _Toc13493 \h </w:instrText>
          </w:r>
          <w:r>
            <w:rPr>
              <w:sz w:val="21"/>
              <w:szCs w:val="21"/>
            </w:rPr>
            <w:fldChar w:fldCharType="separate"/>
          </w:r>
          <w:r>
            <w:rPr>
              <w:sz w:val="21"/>
              <w:szCs w:val="21"/>
            </w:rPr>
            <w:t>47</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_Toc14040 </w:instrText>
          </w:r>
          <w:r>
            <w:rPr>
              <w:bCs/>
              <w:sz w:val="21"/>
              <w:szCs w:val="21"/>
              <w:lang w:val="zh-CN"/>
            </w:rPr>
            <w:fldChar w:fldCharType="separate"/>
          </w:r>
          <w:r>
            <w:rPr>
              <w:rFonts w:hint="eastAsia"/>
              <w:sz w:val="21"/>
              <w:szCs w:val="21"/>
            </w:rPr>
            <w:t>10.1.4 固体废物</w:t>
          </w:r>
          <w:r>
            <w:rPr>
              <w:sz w:val="21"/>
              <w:szCs w:val="21"/>
            </w:rPr>
            <w:tab/>
          </w:r>
          <w:r>
            <w:rPr>
              <w:sz w:val="21"/>
              <w:szCs w:val="21"/>
            </w:rPr>
            <w:fldChar w:fldCharType="begin"/>
          </w:r>
          <w:r>
            <w:rPr>
              <w:sz w:val="21"/>
              <w:szCs w:val="21"/>
            </w:rPr>
            <w:instrText xml:space="preserve"> PAGEREF _Toc14040 \h </w:instrText>
          </w:r>
          <w:r>
            <w:rPr>
              <w:sz w:val="21"/>
              <w:szCs w:val="21"/>
            </w:rPr>
            <w:fldChar w:fldCharType="separate"/>
          </w:r>
          <w:r>
            <w:rPr>
              <w:sz w:val="21"/>
              <w:szCs w:val="21"/>
            </w:rPr>
            <w:t>47</w:t>
          </w:r>
          <w:r>
            <w:rPr>
              <w:sz w:val="21"/>
              <w:szCs w:val="21"/>
            </w:rPr>
            <w:fldChar w:fldCharType="end"/>
          </w:r>
          <w:r>
            <w:rPr>
              <w:bCs/>
              <w:sz w:val="21"/>
              <w:szCs w:val="21"/>
              <w:lang w:val="zh-CN"/>
            </w:rPr>
            <w:fldChar w:fldCharType="end"/>
          </w:r>
        </w:p>
        <w:p>
          <w:pPr>
            <w:pStyle w:val="9"/>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_Toc19321 </w:instrText>
          </w:r>
          <w:r>
            <w:rPr>
              <w:bCs/>
              <w:sz w:val="21"/>
              <w:szCs w:val="21"/>
              <w:lang w:val="zh-CN"/>
            </w:rPr>
            <w:fldChar w:fldCharType="separate"/>
          </w:r>
          <w:r>
            <w:rPr>
              <w:rFonts w:hint="eastAsia"/>
              <w:sz w:val="21"/>
              <w:szCs w:val="21"/>
            </w:rPr>
            <w:t>10.1.5 油气回收</w:t>
          </w:r>
          <w:r>
            <w:rPr>
              <w:sz w:val="21"/>
              <w:szCs w:val="21"/>
            </w:rPr>
            <w:tab/>
          </w:r>
          <w:r>
            <w:rPr>
              <w:sz w:val="21"/>
              <w:szCs w:val="21"/>
            </w:rPr>
            <w:fldChar w:fldCharType="begin"/>
          </w:r>
          <w:r>
            <w:rPr>
              <w:sz w:val="21"/>
              <w:szCs w:val="21"/>
            </w:rPr>
            <w:instrText xml:space="preserve"> PAGEREF _Toc19321 \h </w:instrText>
          </w:r>
          <w:r>
            <w:rPr>
              <w:sz w:val="21"/>
              <w:szCs w:val="21"/>
            </w:rPr>
            <w:fldChar w:fldCharType="separate"/>
          </w:r>
          <w:r>
            <w:rPr>
              <w:sz w:val="21"/>
              <w:szCs w:val="21"/>
            </w:rPr>
            <w:t>48</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_Toc26407 </w:instrText>
          </w:r>
          <w:r>
            <w:rPr>
              <w:bCs/>
              <w:sz w:val="21"/>
              <w:szCs w:val="21"/>
              <w:lang w:val="zh-CN"/>
            </w:rPr>
            <w:fldChar w:fldCharType="separate"/>
          </w:r>
          <w:r>
            <w:rPr>
              <w:rFonts w:hint="eastAsia"/>
              <w:sz w:val="21"/>
              <w:szCs w:val="21"/>
            </w:rPr>
            <w:t>10.2 建议</w:t>
          </w:r>
          <w:r>
            <w:rPr>
              <w:sz w:val="21"/>
              <w:szCs w:val="21"/>
            </w:rPr>
            <w:tab/>
          </w:r>
          <w:r>
            <w:rPr>
              <w:sz w:val="21"/>
              <w:szCs w:val="21"/>
            </w:rPr>
            <w:fldChar w:fldCharType="begin"/>
          </w:r>
          <w:r>
            <w:rPr>
              <w:sz w:val="21"/>
              <w:szCs w:val="21"/>
            </w:rPr>
            <w:instrText xml:space="preserve"> PAGEREF _Toc26407 \h </w:instrText>
          </w:r>
          <w:r>
            <w:rPr>
              <w:sz w:val="21"/>
              <w:szCs w:val="21"/>
            </w:rPr>
            <w:fldChar w:fldCharType="separate"/>
          </w:r>
          <w:r>
            <w:rPr>
              <w:sz w:val="21"/>
              <w:szCs w:val="21"/>
            </w:rPr>
            <w:t>48</w:t>
          </w:r>
          <w:r>
            <w:rPr>
              <w:sz w:val="21"/>
              <w:szCs w:val="21"/>
            </w:rPr>
            <w:fldChar w:fldCharType="end"/>
          </w:r>
          <w:r>
            <w:rPr>
              <w:bCs/>
              <w:sz w:val="21"/>
              <w:szCs w:val="21"/>
              <w:lang w:val="zh-CN"/>
            </w:rPr>
            <w:fldChar w:fldCharType="end"/>
          </w:r>
        </w:p>
        <w:p>
          <w:pPr>
            <w:pStyle w:val="13"/>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_Toc18270 </w:instrText>
          </w:r>
          <w:r>
            <w:rPr>
              <w:bCs/>
              <w:sz w:val="21"/>
              <w:szCs w:val="21"/>
              <w:lang w:val="zh-CN"/>
            </w:rPr>
            <w:fldChar w:fldCharType="separate"/>
          </w:r>
          <w:r>
            <w:rPr>
              <w:rFonts w:hint="eastAsia"/>
              <w:sz w:val="21"/>
              <w:szCs w:val="21"/>
            </w:rPr>
            <w:t>11 建设项目竣工环境保护“三同时”验收登记表</w:t>
          </w:r>
          <w:r>
            <w:rPr>
              <w:sz w:val="21"/>
              <w:szCs w:val="21"/>
            </w:rPr>
            <w:tab/>
          </w:r>
          <w:r>
            <w:rPr>
              <w:sz w:val="21"/>
              <w:szCs w:val="21"/>
            </w:rPr>
            <w:fldChar w:fldCharType="begin"/>
          </w:r>
          <w:r>
            <w:rPr>
              <w:sz w:val="21"/>
              <w:szCs w:val="21"/>
            </w:rPr>
            <w:instrText xml:space="preserve"> PAGEREF _Toc18270 \h </w:instrText>
          </w:r>
          <w:r>
            <w:rPr>
              <w:sz w:val="21"/>
              <w:szCs w:val="21"/>
            </w:rPr>
            <w:fldChar w:fldCharType="separate"/>
          </w:r>
          <w:r>
            <w:rPr>
              <w:sz w:val="21"/>
              <w:szCs w:val="21"/>
            </w:rPr>
            <w:t>49</w:t>
          </w:r>
          <w:r>
            <w:rPr>
              <w:sz w:val="21"/>
              <w:szCs w:val="21"/>
            </w:rPr>
            <w:fldChar w:fldCharType="end"/>
          </w:r>
          <w:r>
            <w:rPr>
              <w:bCs/>
              <w:sz w:val="21"/>
              <w:szCs w:val="21"/>
              <w:lang w:val="zh-CN"/>
            </w:rPr>
            <w:fldChar w:fldCharType="end"/>
          </w:r>
        </w:p>
        <w:p>
          <w:pPr>
            <w:pStyle w:val="13"/>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_Toc3362 </w:instrText>
          </w:r>
          <w:r>
            <w:rPr>
              <w:bCs/>
              <w:sz w:val="21"/>
              <w:szCs w:val="21"/>
              <w:lang w:val="zh-CN"/>
            </w:rPr>
            <w:fldChar w:fldCharType="separate"/>
          </w:r>
          <w:r>
            <w:rPr>
              <w:rFonts w:hint="eastAsia"/>
              <w:sz w:val="21"/>
              <w:szCs w:val="21"/>
            </w:rPr>
            <w:t>12 附件</w:t>
          </w:r>
          <w:r>
            <w:rPr>
              <w:sz w:val="21"/>
              <w:szCs w:val="21"/>
            </w:rPr>
            <w:tab/>
          </w:r>
          <w:r>
            <w:rPr>
              <w:sz w:val="21"/>
              <w:szCs w:val="21"/>
            </w:rPr>
            <w:fldChar w:fldCharType="begin"/>
          </w:r>
          <w:r>
            <w:rPr>
              <w:sz w:val="21"/>
              <w:szCs w:val="21"/>
            </w:rPr>
            <w:instrText xml:space="preserve"> PAGEREF _Toc3362 \h </w:instrText>
          </w:r>
          <w:r>
            <w:rPr>
              <w:sz w:val="21"/>
              <w:szCs w:val="21"/>
            </w:rPr>
            <w:fldChar w:fldCharType="separate"/>
          </w:r>
          <w:r>
            <w:rPr>
              <w:sz w:val="21"/>
              <w:szCs w:val="21"/>
            </w:rPr>
            <w:t>49</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_Toc18442 </w:instrText>
          </w:r>
          <w:r>
            <w:rPr>
              <w:bCs/>
              <w:sz w:val="21"/>
              <w:szCs w:val="21"/>
              <w:lang w:val="zh-CN"/>
            </w:rPr>
            <w:fldChar w:fldCharType="separate"/>
          </w:r>
          <w:r>
            <w:rPr>
              <w:rFonts w:hint="eastAsia"/>
              <w:sz w:val="21"/>
              <w:szCs w:val="21"/>
            </w:rPr>
            <w:t>附件1 建设项目竣工环境保护“三同时”验收登记表</w:t>
          </w:r>
          <w:r>
            <w:rPr>
              <w:sz w:val="21"/>
              <w:szCs w:val="21"/>
            </w:rPr>
            <w:tab/>
          </w:r>
          <w:r>
            <w:rPr>
              <w:sz w:val="21"/>
              <w:szCs w:val="21"/>
            </w:rPr>
            <w:fldChar w:fldCharType="begin"/>
          </w:r>
          <w:r>
            <w:rPr>
              <w:sz w:val="21"/>
              <w:szCs w:val="21"/>
            </w:rPr>
            <w:instrText xml:space="preserve"> PAGEREF _Toc18442 \h </w:instrText>
          </w:r>
          <w:r>
            <w:rPr>
              <w:sz w:val="21"/>
              <w:szCs w:val="21"/>
            </w:rPr>
            <w:fldChar w:fldCharType="separate"/>
          </w:r>
          <w:r>
            <w:rPr>
              <w:sz w:val="21"/>
              <w:szCs w:val="21"/>
            </w:rPr>
            <w:t>50</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_Toc29797 </w:instrText>
          </w:r>
          <w:r>
            <w:rPr>
              <w:bCs/>
              <w:sz w:val="21"/>
              <w:szCs w:val="21"/>
              <w:lang w:val="zh-CN"/>
            </w:rPr>
            <w:fldChar w:fldCharType="separate"/>
          </w:r>
          <w:r>
            <w:rPr>
              <w:rFonts w:hint="eastAsia"/>
              <w:sz w:val="21"/>
              <w:szCs w:val="21"/>
            </w:rPr>
            <w:t>附件2 营业执照</w:t>
          </w:r>
          <w:r>
            <w:rPr>
              <w:sz w:val="21"/>
              <w:szCs w:val="21"/>
            </w:rPr>
            <w:tab/>
          </w:r>
          <w:r>
            <w:rPr>
              <w:sz w:val="21"/>
              <w:szCs w:val="21"/>
            </w:rPr>
            <w:fldChar w:fldCharType="begin"/>
          </w:r>
          <w:r>
            <w:rPr>
              <w:sz w:val="21"/>
              <w:szCs w:val="21"/>
            </w:rPr>
            <w:instrText xml:space="preserve"> PAGEREF _Toc29797 \h </w:instrText>
          </w:r>
          <w:r>
            <w:rPr>
              <w:sz w:val="21"/>
              <w:szCs w:val="21"/>
            </w:rPr>
            <w:fldChar w:fldCharType="separate"/>
          </w:r>
          <w:r>
            <w:rPr>
              <w:sz w:val="21"/>
              <w:szCs w:val="21"/>
            </w:rPr>
            <w:t>51</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_Toc4879 </w:instrText>
          </w:r>
          <w:r>
            <w:rPr>
              <w:bCs/>
              <w:sz w:val="21"/>
              <w:szCs w:val="21"/>
              <w:lang w:val="zh-CN"/>
            </w:rPr>
            <w:fldChar w:fldCharType="separate"/>
          </w:r>
          <w:r>
            <w:rPr>
              <w:rFonts w:hint="eastAsia"/>
              <w:sz w:val="21"/>
              <w:szCs w:val="21"/>
            </w:rPr>
            <w:t>附件3</w:t>
          </w:r>
          <w:r>
            <w:rPr>
              <w:sz w:val="21"/>
              <w:szCs w:val="21"/>
            </w:rPr>
            <w:t xml:space="preserve"> </w:t>
          </w:r>
          <w:r>
            <w:rPr>
              <w:rFonts w:hint="eastAsia"/>
              <w:sz w:val="21"/>
              <w:szCs w:val="21"/>
            </w:rPr>
            <w:t>法人身份证复印件</w:t>
          </w:r>
          <w:r>
            <w:rPr>
              <w:sz w:val="21"/>
              <w:szCs w:val="21"/>
            </w:rPr>
            <w:tab/>
          </w:r>
          <w:r>
            <w:rPr>
              <w:sz w:val="21"/>
              <w:szCs w:val="21"/>
            </w:rPr>
            <w:fldChar w:fldCharType="begin"/>
          </w:r>
          <w:r>
            <w:rPr>
              <w:sz w:val="21"/>
              <w:szCs w:val="21"/>
            </w:rPr>
            <w:instrText xml:space="preserve"> PAGEREF _Toc4879 \h </w:instrText>
          </w:r>
          <w:r>
            <w:rPr>
              <w:sz w:val="21"/>
              <w:szCs w:val="21"/>
            </w:rPr>
            <w:fldChar w:fldCharType="separate"/>
          </w:r>
          <w:r>
            <w:rPr>
              <w:sz w:val="21"/>
              <w:szCs w:val="21"/>
            </w:rPr>
            <w:t>52</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_Toc23315 </w:instrText>
          </w:r>
          <w:r>
            <w:rPr>
              <w:bCs/>
              <w:sz w:val="21"/>
              <w:szCs w:val="21"/>
              <w:lang w:val="zh-CN"/>
            </w:rPr>
            <w:fldChar w:fldCharType="separate"/>
          </w:r>
          <w:r>
            <w:rPr>
              <w:rFonts w:hint="eastAsia"/>
              <w:sz w:val="21"/>
              <w:szCs w:val="21"/>
            </w:rPr>
            <w:t>附件4 环评批复</w:t>
          </w:r>
          <w:r>
            <w:rPr>
              <w:sz w:val="21"/>
              <w:szCs w:val="21"/>
            </w:rPr>
            <w:tab/>
          </w:r>
          <w:r>
            <w:rPr>
              <w:sz w:val="21"/>
              <w:szCs w:val="21"/>
            </w:rPr>
            <w:fldChar w:fldCharType="begin"/>
          </w:r>
          <w:r>
            <w:rPr>
              <w:sz w:val="21"/>
              <w:szCs w:val="21"/>
            </w:rPr>
            <w:instrText xml:space="preserve"> PAGEREF _Toc23315 \h </w:instrText>
          </w:r>
          <w:r>
            <w:rPr>
              <w:sz w:val="21"/>
              <w:szCs w:val="21"/>
            </w:rPr>
            <w:fldChar w:fldCharType="separate"/>
          </w:r>
          <w:r>
            <w:rPr>
              <w:sz w:val="21"/>
              <w:szCs w:val="21"/>
            </w:rPr>
            <w:t>53</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_Toc10610 </w:instrText>
          </w:r>
          <w:r>
            <w:rPr>
              <w:bCs/>
              <w:sz w:val="21"/>
              <w:szCs w:val="21"/>
              <w:lang w:val="zh-CN"/>
            </w:rPr>
            <w:fldChar w:fldCharType="separate"/>
          </w:r>
          <w:r>
            <w:rPr>
              <w:rFonts w:hint="eastAsia"/>
              <w:sz w:val="21"/>
              <w:szCs w:val="21"/>
            </w:rPr>
            <w:t>附件5</w:t>
          </w:r>
          <w:r>
            <w:rPr>
              <w:sz w:val="21"/>
              <w:szCs w:val="21"/>
            </w:rPr>
            <w:t xml:space="preserve"> </w:t>
          </w:r>
          <w:r>
            <w:rPr>
              <w:rFonts w:hint="eastAsia"/>
              <w:sz w:val="21"/>
              <w:szCs w:val="21"/>
            </w:rPr>
            <w:t>排污许可证</w:t>
          </w:r>
          <w:r>
            <w:rPr>
              <w:sz w:val="21"/>
              <w:szCs w:val="21"/>
            </w:rPr>
            <w:tab/>
          </w:r>
          <w:r>
            <w:rPr>
              <w:sz w:val="21"/>
              <w:szCs w:val="21"/>
            </w:rPr>
            <w:fldChar w:fldCharType="begin"/>
          </w:r>
          <w:r>
            <w:rPr>
              <w:sz w:val="21"/>
              <w:szCs w:val="21"/>
            </w:rPr>
            <w:instrText xml:space="preserve"> PAGEREF _Toc10610 \h </w:instrText>
          </w:r>
          <w:r>
            <w:rPr>
              <w:sz w:val="21"/>
              <w:szCs w:val="21"/>
            </w:rPr>
            <w:fldChar w:fldCharType="separate"/>
          </w:r>
          <w:r>
            <w:rPr>
              <w:sz w:val="21"/>
              <w:szCs w:val="21"/>
            </w:rPr>
            <w:t>58</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_Toc21446 </w:instrText>
          </w:r>
          <w:r>
            <w:rPr>
              <w:bCs/>
              <w:sz w:val="21"/>
              <w:szCs w:val="21"/>
              <w:lang w:val="zh-CN"/>
            </w:rPr>
            <w:fldChar w:fldCharType="separate"/>
          </w:r>
          <w:r>
            <w:rPr>
              <w:rFonts w:hint="eastAsia"/>
              <w:sz w:val="21"/>
              <w:szCs w:val="21"/>
            </w:rPr>
            <w:t>附件6 危废合同</w:t>
          </w:r>
          <w:r>
            <w:rPr>
              <w:sz w:val="21"/>
              <w:szCs w:val="21"/>
            </w:rPr>
            <w:tab/>
          </w:r>
          <w:r>
            <w:rPr>
              <w:sz w:val="21"/>
              <w:szCs w:val="21"/>
            </w:rPr>
            <w:fldChar w:fldCharType="begin"/>
          </w:r>
          <w:r>
            <w:rPr>
              <w:sz w:val="21"/>
              <w:szCs w:val="21"/>
            </w:rPr>
            <w:instrText xml:space="preserve"> PAGEREF _Toc21446 \h </w:instrText>
          </w:r>
          <w:r>
            <w:rPr>
              <w:sz w:val="21"/>
              <w:szCs w:val="21"/>
            </w:rPr>
            <w:fldChar w:fldCharType="separate"/>
          </w:r>
          <w:r>
            <w:rPr>
              <w:sz w:val="21"/>
              <w:szCs w:val="21"/>
            </w:rPr>
            <w:t>59</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_Toc9179 </w:instrText>
          </w:r>
          <w:r>
            <w:rPr>
              <w:bCs/>
              <w:sz w:val="21"/>
              <w:szCs w:val="21"/>
              <w:lang w:val="zh-CN"/>
            </w:rPr>
            <w:fldChar w:fldCharType="separate"/>
          </w:r>
          <w:r>
            <w:rPr>
              <w:rFonts w:hint="eastAsia"/>
              <w:sz w:val="21"/>
              <w:szCs w:val="21"/>
            </w:rPr>
            <w:t>附件</w:t>
          </w:r>
          <w:r>
            <w:rPr>
              <w:rFonts w:hint="eastAsia"/>
              <w:sz w:val="21"/>
              <w:szCs w:val="21"/>
              <w:lang w:val="en-US" w:eastAsia="zh-CN"/>
            </w:rPr>
            <w:t>7</w:t>
          </w:r>
          <w:r>
            <w:rPr>
              <w:sz w:val="21"/>
              <w:szCs w:val="21"/>
            </w:rPr>
            <w:t xml:space="preserve"> </w:t>
          </w:r>
          <w:r>
            <w:rPr>
              <w:rFonts w:hint="eastAsia"/>
              <w:sz w:val="21"/>
              <w:szCs w:val="21"/>
            </w:rPr>
            <w:t>监测报告</w:t>
          </w:r>
          <w:r>
            <w:rPr>
              <w:sz w:val="21"/>
              <w:szCs w:val="21"/>
            </w:rPr>
            <w:tab/>
          </w:r>
          <w:r>
            <w:rPr>
              <w:sz w:val="21"/>
              <w:szCs w:val="21"/>
            </w:rPr>
            <w:fldChar w:fldCharType="begin"/>
          </w:r>
          <w:r>
            <w:rPr>
              <w:sz w:val="21"/>
              <w:szCs w:val="21"/>
            </w:rPr>
            <w:instrText xml:space="preserve"> PAGEREF _Toc9179 \h </w:instrText>
          </w:r>
          <w:r>
            <w:rPr>
              <w:sz w:val="21"/>
              <w:szCs w:val="21"/>
            </w:rPr>
            <w:fldChar w:fldCharType="separate"/>
          </w:r>
          <w:r>
            <w:rPr>
              <w:sz w:val="21"/>
              <w:szCs w:val="21"/>
            </w:rPr>
            <w:t>68</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rPr>
              <w:sz w:val="21"/>
              <w:szCs w:val="21"/>
            </w:rPr>
          </w:pPr>
          <w:r>
            <w:rPr>
              <w:bCs/>
              <w:sz w:val="21"/>
              <w:szCs w:val="21"/>
              <w:lang w:val="zh-CN"/>
            </w:rPr>
            <w:fldChar w:fldCharType="begin"/>
          </w:r>
          <w:r>
            <w:rPr>
              <w:bCs/>
              <w:sz w:val="21"/>
              <w:szCs w:val="21"/>
              <w:lang w:val="zh-CN"/>
            </w:rPr>
            <w:instrText xml:space="preserve"> HYPERLINK \l _Toc25834 </w:instrText>
          </w:r>
          <w:r>
            <w:rPr>
              <w:bCs/>
              <w:sz w:val="21"/>
              <w:szCs w:val="21"/>
              <w:lang w:val="zh-CN"/>
            </w:rPr>
            <w:fldChar w:fldCharType="separate"/>
          </w:r>
          <w:r>
            <w:rPr>
              <w:rFonts w:hint="eastAsia"/>
              <w:sz w:val="21"/>
              <w:szCs w:val="21"/>
            </w:rPr>
            <w:t>附件</w:t>
          </w:r>
          <w:r>
            <w:rPr>
              <w:rFonts w:hint="eastAsia"/>
              <w:sz w:val="21"/>
              <w:szCs w:val="21"/>
              <w:lang w:val="en-US" w:eastAsia="zh-CN"/>
            </w:rPr>
            <w:t>8</w:t>
          </w:r>
          <w:r>
            <w:rPr>
              <w:sz w:val="21"/>
              <w:szCs w:val="21"/>
            </w:rPr>
            <w:t xml:space="preserve"> </w:t>
          </w:r>
          <w:r>
            <w:rPr>
              <w:rFonts w:hint="eastAsia"/>
              <w:sz w:val="21"/>
              <w:szCs w:val="21"/>
              <w:lang w:val="en-US" w:eastAsia="zh-CN"/>
            </w:rPr>
            <w:t>监测委托书</w:t>
          </w:r>
          <w:r>
            <w:rPr>
              <w:sz w:val="21"/>
              <w:szCs w:val="21"/>
            </w:rPr>
            <w:tab/>
          </w:r>
          <w:r>
            <w:rPr>
              <w:sz w:val="21"/>
              <w:szCs w:val="21"/>
            </w:rPr>
            <w:fldChar w:fldCharType="begin"/>
          </w:r>
          <w:r>
            <w:rPr>
              <w:sz w:val="21"/>
              <w:szCs w:val="21"/>
            </w:rPr>
            <w:instrText xml:space="preserve"> PAGEREF _Toc25834 \h </w:instrText>
          </w:r>
          <w:r>
            <w:rPr>
              <w:sz w:val="21"/>
              <w:szCs w:val="21"/>
            </w:rPr>
            <w:fldChar w:fldCharType="separate"/>
          </w:r>
          <w:r>
            <w:rPr>
              <w:sz w:val="21"/>
              <w:szCs w:val="21"/>
            </w:rPr>
            <w:t>84</w:t>
          </w:r>
          <w:r>
            <w:rPr>
              <w:sz w:val="21"/>
              <w:szCs w:val="21"/>
            </w:rPr>
            <w:fldChar w:fldCharType="end"/>
          </w:r>
          <w:r>
            <w:rPr>
              <w:bCs/>
              <w:sz w:val="21"/>
              <w:szCs w:val="21"/>
              <w:lang w:val="zh-CN"/>
            </w:rPr>
            <w:fldChar w:fldCharType="end"/>
          </w:r>
        </w:p>
        <w:p>
          <w:pPr>
            <w:pStyle w:val="15"/>
            <w:keepNext w:val="0"/>
            <w:keepLines w:val="0"/>
            <w:pageBreakBefore w:val="0"/>
            <w:widowControl w:val="0"/>
            <w:tabs>
              <w:tab w:val="right" w:leader="dot" w:pos="8390"/>
            </w:tabs>
            <w:kinsoku/>
            <w:wordWrap/>
            <w:overflowPunct/>
            <w:topLinePunct w:val="0"/>
            <w:autoSpaceDE/>
            <w:autoSpaceDN/>
            <w:bidi w:val="0"/>
            <w:adjustRightInd/>
            <w:snapToGrid/>
            <w:spacing w:line="240" w:lineRule="auto"/>
            <w:textAlignment w:val="auto"/>
          </w:pPr>
          <w:r>
            <w:rPr>
              <w:bCs/>
              <w:sz w:val="21"/>
              <w:szCs w:val="21"/>
              <w:lang w:val="zh-CN"/>
            </w:rPr>
            <w:fldChar w:fldCharType="begin"/>
          </w:r>
          <w:r>
            <w:rPr>
              <w:bCs/>
              <w:sz w:val="21"/>
              <w:szCs w:val="21"/>
              <w:lang w:val="zh-CN"/>
            </w:rPr>
            <w:instrText xml:space="preserve"> HYPERLINK \l _Toc26919 </w:instrText>
          </w:r>
          <w:r>
            <w:rPr>
              <w:bCs/>
              <w:sz w:val="21"/>
              <w:szCs w:val="21"/>
              <w:lang w:val="zh-CN"/>
            </w:rPr>
            <w:fldChar w:fldCharType="separate"/>
          </w:r>
          <w:r>
            <w:rPr>
              <w:rFonts w:hint="eastAsia"/>
              <w:sz w:val="21"/>
              <w:szCs w:val="21"/>
            </w:rPr>
            <w:t>附件9</w:t>
          </w:r>
          <w:r>
            <w:rPr>
              <w:sz w:val="21"/>
              <w:szCs w:val="21"/>
            </w:rPr>
            <w:t xml:space="preserve"> </w:t>
          </w:r>
          <w:r>
            <w:rPr>
              <w:rFonts w:hint="eastAsia"/>
              <w:sz w:val="21"/>
              <w:szCs w:val="21"/>
            </w:rPr>
            <w:t>高州市翔雄能源有限公司更名为高州市祥富投资有限公司的说明</w:t>
          </w:r>
          <w:r>
            <w:rPr>
              <w:sz w:val="21"/>
              <w:szCs w:val="21"/>
            </w:rPr>
            <w:tab/>
          </w:r>
          <w:r>
            <w:rPr>
              <w:sz w:val="21"/>
              <w:szCs w:val="21"/>
            </w:rPr>
            <w:fldChar w:fldCharType="begin"/>
          </w:r>
          <w:r>
            <w:rPr>
              <w:sz w:val="21"/>
              <w:szCs w:val="21"/>
            </w:rPr>
            <w:instrText xml:space="preserve"> PAGEREF _Toc26919 \h </w:instrText>
          </w:r>
          <w:r>
            <w:rPr>
              <w:sz w:val="21"/>
              <w:szCs w:val="21"/>
            </w:rPr>
            <w:fldChar w:fldCharType="separate"/>
          </w:r>
          <w:r>
            <w:rPr>
              <w:sz w:val="21"/>
              <w:szCs w:val="21"/>
            </w:rPr>
            <w:t>87</w:t>
          </w:r>
          <w:r>
            <w:rPr>
              <w:sz w:val="21"/>
              <w:szCs w:val="21"/>
            </w:rPr>
            <w:fldChar w:fldCharType="end"/>
          </w:r>
          <w:r>
            <w:rPr>
              <w:bCs/>
              <w:sz w:val="21"/>
              <w:szCs w:val="21"/>
              <w:lang w:val="zh-CN"/>
            </w:rPr>
            <w:fldChar w:fldCharType="end"/>
          </w:r>
        </w:p>
        <w:p>
          <w:pPr>
            <w:pStyle w:val="15"/>
            <w:tabs>
              <w:tab w:val="right" w:leader="dot" w:pos="8296"/>
            </w:tabs>
            <w:spacing w:line="300" w:lineRule="auto"/>
            <w:ind w:left="480" w:firstLine="422"/>
            <w:sectPr>
              <w:footerReference r:id="rId9" w:type="default"/>
              <w:pgSz w:w="11906" w:h="16838"/>
              <w:pgMar w:top="1304" w:right="1758" w:bottom="1361" w:left="1758" w:header="851" w:footer="992" w:gutter="0"/>
              <w:pgNumType w:fmt="lowerRoman" w:start="1"/>
              <w:cols w:space="425" w:num="1"/>
              <w:docGrid w:type="lines" w:linePitch="312" w:charSpace="0"/>
            </w:sectPr>
          </w:pPr>
          <w:r>
            <w:rPr>
              <w:bCs/>
              <w:szCs w:val="21"/>
              <w:lang w:val="zh-CN"/>
            </w:rPr>
            <w:fldChar w:fldCharType="end"/>
          </w:r>
        </w:p>
      </w:sdtContent>
    </w:sdt>
    <w:p>
      <w:pPr>
        <w:pStyle w:val="2"/>
        <w:rPr>
          <w:color w:val="auto"/>
        </w:rPr>
      </w:pPr>
      <w:bookmarkStart w:id="9" w:name="_Toc13684"/>
      <w:r>
        <w:rPr>
          <w:rFonts w:hint="eastAsia"/>
          <w:color w:val="auto"/>
        </w:rPr>
        <w:t>项目概况</w:t>
      </w:r>
      <w:bookmarkEnd w:id="9"/>
    </w:p>
    <w:p>
      <w:pPr>
        <w:ind w:firstLine="480"/>
      </w:pPr>
      <w:bookmarkStart w:id="10" w:name="_Hlk190361535"/>
      <w:r>
        <w:rPr>
          <w:rFonts w:hint="eastAsia"/>
          <w:color w:val="auto"/>
        </w:rPr>
        <w:t>高州市祥富投资有限公司曾用名高州市翔雄能源有限公司</w:t>
      </w:r>
      <w:bookmarkEnd w:id="10"/>
      <w:r>
        <w:rPr>
          <w:rFonts w:hint="eastAsia"/>
          <w:color w:val="auto"/>
        </w:rPr>
        <w:t>，于</w:t>
      </w:r>
      <w:r>
        <w:rPr>
          <w:rFonts w:hint="eastAsia"/>
          <w:color w:val="auto"/>
          <w:lang w:val="en-US" w:eastAsia="zh-CN"/>
        </w:rPr>
        <w:t>2024</w:t>
      </w:r>
      <w:r>
        <w:rPr>
          <w:rFonts w:hint="eastAsia"/>
          <w:color w:val="auto"/>
        </w:rPr>
        <w:t>年</w:t>
      </w:r>
      <w:r>
        <w:rPr>
          <w:rFonts w:hint="eastAsia"/>
          <w:color w:val="auto"/>
          <w:lang w:val="en-US" w:eastAsia="zh-CN"/>
        </w:rPr>
        <w:t>1</w:t>
      </w:r>
      <w:r>
        <w:rPr>
          <w:rFonts w:hint="eastAsia"/>
          <w:color w:val="auto"/>
        </w:rPr>
        <w:t xml:space="preserve">月   </w:t>
      </w:r>
      <w:r>
        <w:rPr>
          <w:rFonts w:hint="eastAsia"/>
          <w:color w:val="auto"/>
          <w:lang w:val="en-US" w:eastAsia="zh-CN"/>
        </w:rPr>
        <w:t>25</w:t>
      </w:r>
      <w:r>
        <w:rPr>
          <w:rFonts w:hint="eastAsia"/>
          <w:color w:val="auto"/>
        </w:rPr>
        <w:t>日已更名为高州市祥富投资有限公司。高州市祥富投资有限公司</w:t>
      </w:r>
      <w:r>
        <w:rPr>
          <w:color w:val="auto"/>
        </w:rPr>
        <w:t>新建加油站项目</w:t>
      </w:r>
      <w:r>
        <w:rPr>
          <w:rFonts w:hint="eastAsia"/>
          <w:color w:val="auto"/>
        </w:rPr>
        <w:t>（环评报告表项目名称为</w:t>
      </w:r>
      <w:r>
        <w:rPr>
          <w:color w:val="auto"/>
        </w:rPr>
        <w:t>高州市翔雄能源有限公司新建加油站项目</w:t>
      </w:r>
      <w:r>
        <w:rPr>
          <w:rFonts w:hint="eastAsia"/>
          <w:color w:val="auto"/>
        </w:rPr>
        <w:t>）</w:t>
      </w:r>
      <w:r>
        <w:rPr>
          <w:color w:val="auto"/>
        </w:rPr>
        <w:t>（以下简称：本项目）位于</w:t>
      </w:r>
      <w:r>
        <w:rPr>
          <w:rFonts w:hint="eastAsia"/>
          <w:color w:val="auto"/>
        </w:rPr>
        <w:t>茂名市高州市山美街道城东片区站前路</w:t>
      </w:r>
      <w:r>
        <w:rPr>
          <w:color w:val="auto"/>
        </w:rPr>
        <w:t>（中心地理坐标</w:t>
      </w:r>
      <w:r>
        <w:rPr>
          <w:rFonts w:hint="eastAsia"/>
          <w:color w:val="auto"/>
        </w:rPr>
        <w:t>东经</w:t>
      </w:r>
      <w:r>
        <w:t>1</w:t>
      </w:r>
      <w:r>
        <w:rPr>
          <w:rFonts w:hint="eastAsia"/>
        </w:rPr>
        <w:t>10度52分5.485秒，北纬21度53分49.984秒</w:t>
      </w:r>
      <w:r>
        <w:t>）</w:t>
      </w:r>
      <w:r>
        <w:rPr>
          <w:rFonts w:hint="eastAsia"/>
        </w:rPr>
        <w:t>，主要从事汽油、柴油零售，年销售汽油8500t，柴油1300t。该项目总占地面积5670.16m</w:t>
      </w:r>
      <w:r>
        <w:rPr>
          <w:rFonts w:hint="eastAsia"/>
          <w:vertAlign w:val="superscript"/>
        </w:rPr>
        <w:t>2</w:t>
      </w:r>
      <w:r>
        <w:rPr>
          <w:rFonts w:hint="eastAsia"/>
        </w:rPr>
        <w:t>，总建筑面积1760.39m</w:t>
      </w:r>
      <w:r>
        <w:rPr>
          <w:rFonts w:hint="eastAsia"/>
          <w:vertAlign w:val="superscript"/>
        </w:rPr>
        <w:t>2</w:t>
      </w:r>
      <w:r>
        <w:rPr>
          <w:rFonts w:hint="eastAsia"/>
        </w:rPr>
        <w:t>，建设内容包括加油棚、站房、储罐区、自动洗车区、办公楼等，共设有</w:t>
      </w:r>
      <w:r>
        <w:t>4</w:t>
      </w:r>
      <w:r>
        <w:rPr>
          <w:rFonts w:hint="eastAsia"/>
        </w:rPr>
        <w:t>个埋地储油罐，</w:t>
      </w:r>
      <w:r>
        <w:t>1</w:t>
      </w:r>
      <w:r>
        <w:rPr>
          <w:rFonts w:hint="eastAsia"/>
        </w:rPr>
        <w:t>个</w:t>
      </w:r>
      <w:r>
        <w:t>50m</w:t>
      </w:r>
      <w:r>
        <w:rPr>
          <w:rFonts w:hint="eastAsia"/>
          <w:vertAlign w:val="superscript"/>
        </w:rPr>
        <w:t>3</w:t>
      </w:r>
      <w:r>
        <w:t>0#</w:t>
      </w:r>
      <w:r>
        <w:rPr>
          <w:rFonts w:hint="eastAsia"/>
        </w:rPr>
        <w:t>柴油储罐，</w:t>
      </w:r>
      <w:r>
        <w:t>1</w:t>
      </w:r>
      <w:r>
        <w:rPr>
          <w:rFonts w:hint="eastAsia"/>
        </w:rPr>
        <w:t>个</w:t>
      </w:r>
      <w:r>
        <w:t>50m</w:t>
      </w:r>
      <w:r>
        <w:rPr>
          <w:rFonts w:hint="eastAsia"/>
          <w:vertAlign w:val="superscript"/>
        </w:rPr>
        <w:t>3</w:t>
      </w:r>
      <w:r>
        <w:t>95#</w:t>
      </w:r>
      <w:r>
        <w:rPr>
          <w:rFonts w:hint="eastAsia"/>
        </w:rPr>
        <w:t>汽油储罐、</w:t>
      </w:r>
      <w:r>
        <w:t>1</w:t>
      </w:r>
      <w:r>
        <w:rPr>
          <w:rFonts w:hint="eastAsia"/>
        </w:rPr>
        <w:t>个</w:t>
      </w:r>
      <w:r>
        <w:t>40m</w:t>
      </w:r>
      <w:r>
        <w:rPr>
          <w:rFonts w:hint="eastAsia"/>
          <w:vertAlign w:val="superscript"/>
        </w:rPr>
        <w:t>3</w:t>
      </w:r>
      <w:r>
        <w:t>92#</w:t>
      </w:r>
      <w:r>
        <w:rPr>
          <w:rFonts w:hint="eastAsia"/>
        </w:rPr>
        <w:t>汽油储油罐、</w:t>
      </w:r>
      <w:r>
        <w:t>1</w:t>
      </w:r>
      <w:r>
        <w:rPr>
          <w:rFonts w:hint="eastAsia"/>
        </w:rPr>
        <w:t>个</w:t>
      </w:r>
      <w:r>
        <w:t>30m</w:t>
      </w:r>
      <w:r>
        <w:rPr>
          <w:rFonts w:hint="eastAsia"/>
          <w:vertAlign w:val="superscript"/>
        </w:rPr>
        <w:t>3</w:t>
      </w:r>
      <w:r>
        <w:t>98#</w:t>
      </w:r>
      <w:r>
        <w:rPr>
          <w:rFonts w:hint="eastAsia"/>
        </w:rPr>
        <w:t>汽油储油罐，6台6枪3品加油机。项目总投资为700万元，其中环保投资为50万元，占总投资比例的7.14%</w:t>
      </w:r>
      <w:r>
        <w:t>。</w:t>
      </w:r>
      <w:r>
        <w:rPr>
          <w:rFonts w:hint="eastAsia"/>
        </w:rPr>
        <w:t>本项目劳动定员为12人，均不在站内食宿，全年工作365天，3班制，每班工作8小时。</w:t>
      </w:r>
    </w:p>
    <w:p>
      <w:pPr>
        <w:ind w:firstLine="480"/>
        <w:rPr>
          <w:color w:val="FF0000"/>
        </w:rPr>
      </w:pPr>
      <w:r>
        <w:t>2</w:t>
      </w:r>
      <w:r>
        <w:rPr>
          <w:rFonts w:hint="eastAsia"/>
        </w:rPr>
        <w:t>023</w:t>
      </w:r>
      <w:r>
        <w:t>年</w:t>
      </w:r>
      <w:r>
        <w:rPr>
          <w:rFonts w:hint="eastAsia"/>
        </w:rPr>
        <w:t>11</w:t>
      </w:r>
      <w:r>
        <w:t>月</w:t>
      </w:r>
      <w:r>
        <w:rPr>
          <w:rFonts w:hint="eastAsia"/>
        </w:rPr>
        <w:t>，高州市祥富投资有限公司委托广州市杰人环保科技</w:t>
      </w:r>
      <w:r>
        <w:t>有限公司编制</w:t>
      </w:r>
      <w:r>
        <w:rPr>
          <w:rFonts w:hint="eastAsia"/>
        </w:rPr>
        <w:t>完成了《</w:t>
      </w:r>
      <w:r>
        <w:t>高州市翔雄能源有限公司新建加油站项目环境影响报告表</w:t>
      </w:r>
      <w:r>
        <w:rPr>
          <w:rFonts w:hint="eastAsia"/>
        </w:rPr>
        <w:t>》。该项目</w:t>
      </w:r>
      <w:r>
        <w:t>于20</w:t>
      </w:r>
      <w:r>
        <w:rPr>
          <w:rFonts w:hint="eastAsia"/>
        </w:rPr>
        <w:t>23</w:t>
      </w:r>
      <w:r>
        <w:t>年1</w:t>
      </w:r>
      <w:r>
        <w:rPr>
          <w:rFonts w:hint="eastAsia"/>
        </w:rPr>
        <w:t>2</w:t>
      </w:r>
      <w:r>
        <w:t>月</w:t>
      </w:r>
      <w:r>
        <w:rPr>
          <w:rFonts w:hint="eastAsia"/>
        </w:rPr>
        <w:t>4</w:t>
      </w:r>
      <w:r>
        <w:t>日取得了</w:t>
      </w:r>
      <w:r>
        <w:rPr>
          <w:rFonts w:hint="eastAsia"/>
        </w:rPr>
        <w:t>茂名市生态环境局高州分局</w:t>
      </w:r>
      <w:r>
        <w:t>《关于高州市翔雄能源有限公司新建加油站项目环境影响报告表的批复》（</w:t>
      </w:r>
      <w:r>
        <w:rPr>
          <w:rFonts w:hint="eastAsia"/>
        </w:rPr>
        <w:t>茂环（高州）</w:t>
      </w:r>
      <w:r>
        <w:t>审[20</w:t>
      </w:r>
      <w:r>
        <w:rPr>
          <w:rFonts w:hint="eastAsia"/>
        </w:rPr>
        <w:t>23</w:t>
      </w:r>
      <w:r>
        <w:t>]1</w:t>
      </w:r>
      <w:r>
        <w:rPr>
          <w:rFonts w:hint="eastAsia"/>
        </w:rPr>
        <w:t>7</w:t>
      </w:r>
      <w:r>
        <w:t>号）。本建设项目于20</w:t>
      </w:r>
      <w:r>
        <w:rPr>
          <w:rFonts w:hint="eastAsia"/>
        </w:rPr>
        <w:t>23</w:t>
      </w:r>
      <w:r>
        <w:t>年</w:t>
      </w:r>
      <w:r>
        <w:rPr>
          <w:rFonts w:hint="eastAsia"/>
        </w:rPr>
        <w:t>10</w:t>
      </w:r>
      <w:r>
        <w:t>月开工建设，202</w:t>
      </w:r>
      <w:r>
        <w:rPr>
          <w:rFonts w:hint="eastAsia"/>
        </w:rPr>
        <w:t>4</w:t>
      </w:r>
      <w:r>
        <w:t>年</w:t>
      </w:r>
      <w:r>
        <w:rPr>
          <w:rFonts w:hint="eastAsia"/>
        </w:rPr>
        <w:t>3</w:t>
      </w:r>
      <w:r>
        <w:t>月开始调试。</w:t>
      </w:r>
    </w:p>
    <w:p>
      <w:pPr>
        <w:ind w:firstLine="480"/>
        <w:sectPr>
          <w:footerReference r:id="rId10" w:type="default"/>
          <w:pgSz w:w="11906" w:h="16838"/>
          <w:pgMar w:top="1440" w:right="1800" w:bottom="1440" w:left="1800" w:header="851" w:footer="992" w:gutter="0"/>
          <w:pgNumType w:start="1"/>
          <w:cols w:space="425" w:num="1"/>
          <w:docGrid w:type="lines" w:linePitch="312" w:charSpace="0"/>
        </w:sectPr>
      </w:pPr>
      <w:r>
        <w:t>目前，</w:t>
      </w:r>
      <w:r>
        <w:rPr>
          <w:rFonts w:hint="eastAsia"/>
        </w:rPr>
        <w:t>本项目所有建设内容及环保辅助设施等已建设完成，生产状态稳定，已具备验收条件。我司（高州市祥富投资有限公司）承担本项目竣工环境保护验收监测工作。我公司根据《建设项目竣工环境保护验收暂行办法》（国环规环评〔2017〕4号，环境保护部2017年11月20日）及生态环境部《建设项目竣工环境保护验收技术指南 污染影响类》的有关规定，于</w:t>
      </w:r>
      <w:r>
        <w:rPr>
          <w:rFonts w:hint="eastAsia"/>
          <w:color w:val="7030A0"/>
        </w:rPr>
        <w:t>2024年6月</w:t>
      </w:r>
      <w:r>
        <w:rPr>
          <w:rFonts w:hint="eastAsia"/>
        </w:rPr>
        <w:t>组织有关人员进行了资料核查和现场勘察，查阅了有关环保文件和技术资料，查看了污染物治理及排放设施的落实情况，编写了验收监测方案。根据验收监测方案，我公司委托茂名市广润检测有限公司对本项目排放的废水、废气、噪声进行现场采样监测及检查验证，委托广东中勤检测技术有限公司对本项目油气回收进行现场检测，在此基础上编写了本报告。</w:t>
      </w:r>
    </w:p>
    <w:p>
      <w:pPr>
        <w:pStyle w:val="2"/>
      </w:pPr>
      <w:bookmarkStart w:id="11" w:name="_Toc14303"/>
      <w:r>
        <w:rPr>
          <w:rFonts w:hint="eastAsia"/>
        </w:rPr>
        <w:t>验收依据</w:t>
      </w:r>
      <w:bookmarkEnd w:id="11"/>
    </w:p>
    <w:p>
      <w:pPr>
        <w:ind w:firstLine="480"/>
      </w:pPr>
      <w:r>
        <w:rPr>
          <w:rFonts w:hint="eastAsia"/>
        </w:rPr>
        <w:t>（1）《中华人民共和国环境保护法》（2015年1月1日起施行）；</w:t>
      </w:r>
    </w:p>
    <w:p>
      <w:pPr>
        <w:ind w:firstLine="480"/>
      </w:pPr>
      <w:r>
        <w:rPr>
          <w:rFonts w:hint="eastAsia"/>
        </w:rPr>
        <w:t>（2）《中华人民共和国大气污染防治法》（自2018年10月26日起施行）；</w:t>
      </w:r>
    </w:p>
    <w:p>
      <w:pPr>
        <w:ind w:firstLine="480"/>
      </w:pPr>
      <w:r>
        <w:rPr>
          <w:rFonts w:hint="eastAsia"/>
        </w:rPr>
        <w:t>（3）《中华人民共和国水污染防治法》（2018年1月1日起施行）；</w:t>
      </w:r>
    </w:p>
    <w:p>
      <w:pPr>
        <w:ind w:firstLine="480"/>
      </w:pPr>
      <w:r>
        <w:rPr>
          <w:rFonts w:hint="eastAsia"/>
        </w:rPr>
        <w:t>（4）《中华人民共和国噪声污染防治法》（2022年6月5日起施行）；</w:t>
      </w:r>
    </w:p>
    <w:p>
      <w:pPr>
        <w:ind w:firstLine="480"/>
      </w:pPr>
      <w:r>
        <w:rPr>
          <w:rFonts w:hint="eastAsia"/>
        </w:rPr>
        <w:t>（5）《中华人民共和国固体废物污染防治法》（2020年9月1日起施行）；</w:t>
      </w:r>
    </w:p>
    <w:p>
      <w:pPr>
        <w:ind w:firstLine="480"/>
      </w:pPr>
      <w:r>
        <w:rPr>
          <w:rFonts w:hint="eastAsia"/>
        </w:rPr>
        <w:t>（6）《建设项目环境保护管理条例》（国务院第682号令，2017年10月）；</w:t>
      </w:r>
    </w:p>
    <w:p>
      <w:pPr>
        <w:ind w:firstLine="480"/>
      </w:pPr>
      <w:r>
        <w:rPr>
          <w:rFonts w:hint="eastAsia"/>
        </w:rPr>
        <w:t>（7）《建设项目竣工环境保护验收暂行办法》（国环规环评〔2017〕4号，环境保护部2017年11月20日）；</w:t>
      </w:r>
    </w:p>
    <w:p>
      <w:pPr>
        <w:ind w:firstLine="480"/>
      </w:pPr>
      <w:r>
        <w:rPr>
          <w:rFonts w:hint="eastAsia"/>
        </w:rPr>
        <w:t>（8）《建设项目竣工环境保护验收技术指南 污染影响类》（生态环境部2018年5月16日）；</w:t>
      </w:r>
    </w:p>
    <w:p>
      <w:pPr>
        <w:ind w:firstLine="480"/>
      </w:pPr>
      <w:r>
        <w:rPr>
          <w:rFonts w:hint="eastAsia"/>
        </w:rPr>
        <w:t>（9）茂名市环境保护局《关于印发建设单位自主开展竣工环境保护验收工作指引（试行）的通知》（茂环〔2018〕9号）；</w:t>
      </w:r>
    </w:p>
    <w:p>
      <w:pPr>
        <w:ind w:firstLine="480"/>
      </w:pPr>
      <w:r>
        <w:rPr>
          <w:rFonts w:hint="eastAsia"/>
        </w:rPr>
        <w:t>（10）《污染影响类建设项目重大变动清单（试行）》（环办环评函〔2020〕688 号）；</w:t>
      </w:r>
    </w:p>
    <w:p>
      <w:pPr>
        <w:ind w:firstLine="480"/>
      </w:pPr>
      <w:r>
        <w:rPr>
          <w:rFonts w:hint="eastAsia"/>
        </w:rPr>
        <w:t>（11）</w:t>
      </w:r>
      <w:r>
        <w:rPr>
          <w:rFonts w:hint="eastAsia"/>
          <w:color w:val="000000"/>
        </w:rPr>
        <w:t>《加油站大气污染物排放标准》（GB20952-2020）</w:t>
      </w:r>
      <w:r>
        <w:rPr>
          <w:rFonts w:hint="eastAsia"/>
        </w:rPr>
        <w:t>；</w:t>
      </w:r>
    </w:p>
    <w:p>
      <w:pPr>
        <w:ind w:firstLine="480"/>
      </w:pPr>
      <w:r>
        <w:rPr>
          <w:rFonts w:hint="eastAsia"/>
        </w:rPr>
        <w:t>（12）广东省地方标准《大气污染物排放限值》（DB44/27—2001）；</w:t>
      </w:r>
    </w:p>
    <w:p>
      <w:pPr>
        <w:ind w:firstLine="480"/>
      </w:pPr>
      <w:r>
        <w:rPr>
          <w:rFonts w:hint="eastAsia"/>
        </w:rPr>
        <w:t>（13）广东省地方标准《水污染物排放限值》（D</w:t>
      </w:r>
      <w:r>
        <w:t>B44/26-2001</w:t>
      </w:r>
      <w:r>
        <w:rPr>
          <w:rFonts w:hint="eastAsia"/>
        </w:rPr>
        <w:t>）；</w:t>
      </w:r>
    </w:p>
    <w:p>
      <w:pPr>
        <w:ind w:firstLine="480"/>
      </w:pPr>
      <w:r>
        <w:rPr>
          <w:rFonts w:hint="eastAsia"/>
        </w:rPr>
        <w:t>（14）《工业企业厂界噪声排放标准》（GB12348-2008）；</w:t>
      </w:r>
    </w:p>
    <w:p>
      <w:pPr>
        <w:ind w:firstLine="480"/>
      </w:pPr>
      <w:r>
        <w:rPr>
          <w:rFonts w:hint="eastAsia"/>
        </w:rPr>
        <w:t>（15）《危险废物贮存污染控制标准》（GB18597-20</w:t>
      </w:r>
      <w:r>
        <w:t>23</w:t>
      </w:r>
      <w:r>
        <w:rPr>
          <w:rFonts w:hint="eastAsia"/>
        </w:rPr>
        <w:t>）；</w:t>
      </w:r>
    </w:p>
    <w:p>
      <w:pPr>
        <w:ind w:firstLine="480"/>
      </w:pPr>
      <w:r>
        <w:rPr>
          <w:rFonts w:hint="eastAsia"/>
        </w:rPr>
        <w:t>（16）《一般工业固体废物贮存、处置场污染控制标准》（GB 18599-2020）。</w:t>
      </w:r>
    </w:p>
    <w:p>
      <w:pPr>
        <w:ind w:firstLine="480"/>
      </w:pPr>
      <w:r>
        <w:rPr>
          <w:rFonts w:hint="eastAsia"/>
        </w:rPr>
        <w:t>（17）《高州市翔雄能源有限公司新建加油站项目环境影响报告表》（广州市杰人环保科技有限公司，</w:t>
      </w:r>
      <w:r>
        <w:rPr>
          <w:rFonts w:hint="eastAsia"/>
          <w:color w:val="7030A0"/>
        </w:rPr>
        <w:t>2023年11月）</w:t>
      </w:r>
      <w:r>
        <w:rPr>
          <w:rFonts w:hint="eastAsia"/>
        </w:rPr>
        <w:t>；</w:t>
      </w:r>
    </w:p>
    <w:p>
      <w:pPr>
        <w:ind w:firstLine="480"/>
      </w:pPr>
      <w:r>
        <w:rPr>
          <w:rFonts w:hint="eastAsia"/>
        </w:rPr>
        <w:t>（18）</w:t>
      </w:r>
      <w:r>
        <w:t>《关于高州市翔雄能源有限公司新建加油站项目环境影响报告表的批复》（</w:t>
      </w:r>
      <w:r>
        <w:rPr>
          <w:rFonts w:hint="eastAsia"/>
        </w:rPr>
        <w:t>茂环（高州）</w:t>
      </w:r>
      <w:r>
        <w:t>审[20</w:t>
      </w:r>
      <w:r>
        <w:rPr>
          <w:rFonts w:hint="eastAsia"/>
        </w:rPr>
        <w:t>23</w:t>
      </w:r>
      <w:r>
        <w:t>]1</w:t>
      </w:r>
      <w:r>
        <w:rPr>
          <w:rFonts w:hint="eastAsia"/>
        </w:rPr>
        <w:t>7</w:t>
      </w:r>
      <w:r>
        <w:t>号</w:t>
      </w:r>
      <w:r>
        <w:rPr>
          <w:rFonts w:hint="eastAsia"/>
        </w:rPr>
        <w:t>，茂名市生态环境局高州分局，</w:t>
      </w:r>
      <w:r>
        <w:rPr>
          <w:rFonts w:hint="eastAsia"/>
          <w:color w:val="7030A0"/>
        </w:rPr>
        <w:t>2023年12月4</w:t>
      </w:r>
      <w:r>
        <w:rPr>
          <w:rFonts w:hint="eastAsia"/>
        </w:rPr>
        <w:t>日）。</w:t>
      </w:r>
    </w:p>
    <w:p>
      <w:pPr>
        <w:ind w:firstLine="199" w:firstLineChars="83"/>
      </w:pPr>
    </w:p>
    <w:p>
      <w:pPr>
        <w:widowControl/>
        <w:spacing w:line="240" w:lineRule="auto"/>
        <w:ind w:firstLine="0" w:firstLineChars="0"/>
        <w:jc w:val="left"/>
      </w:pPr>
      <w:r>
        <w:br w:type="page"/>
      </w:r>
    </w:p>
    <w:p>
      <w:pPr>
        <w:pStyle w:val="2"/>
      </w:pPr>
      <w:bookmarkStart w:id="12" w:name="_Toc16762"/>
      <w:r>
        <w:rPr>
          <w:rFonts w:hint="eastAsia"/>
        </w:rPr>
        <w:t>项目建设情况</w:t>
      </w:r>
      <w:bookmarkEnd w:id="12"/>
    </w:p>
    <w:p>
      <w:pPr>
        <w:pStyle w:val="3"/>
      </w:pPr>
      <w:bookmarkStart w:id="13" w:name="_Toc4415"/>
      <w:r>
        <w:rPr>
          <w:rFonts w:hint="eastAsia"/>
        </w:rPr>
        <w:t>地理位置及平面布置</w:t>
      </w:r>
      <w:bookmarkEnd w:id="13"/>
    </w:p>
    <w:p>
      <w:pPr>
        <w:ind w:firstLine="480"/>
      </w:pPr>
      <w:r>
        <w:rPr>
          <w:rFonts w:hint="eastAsia"/>
        </w:rPr>
        <w:t>本项目位于茂名市高州市山美街道城东片区站前路（中心地理坐标：东经110度52分5.485秒，北纬21度53分49.984秒）。</w:t>
      </w:r>
    </w:p>
    <w:p>
      <w:pPr>
        <w:ind w:firstLine="480"/>
      </w:pPr>
      <w:r>
        <w:t>项目</w:t>
      </w:r>
      <w:r>
        <w:rPr>
          <w:rFonts w:hint="eastAsia"/>
        </w:rPr>
        <w:t>东面为中梁公园壹号，南面为空地，西面现为规划道路预留地，北面为站前路，最近敏感点为项目东面28m中梁公园壹号。</w:t>
      </w:r>
    </w:p>
    <w:p>
      <w:pPr>
        <w:ind w:firstLine="480"/>
      </w:pPr>
      <w:r>
        <w:rPr>
          <w:rFonts w:hint="eastAsia"/>
        </w:rPr>
        <w:t>项目地理位置图见图3-1，项目四至图见图3-2，项目平面布置图见图3-</w:t>
      </w:r>
      <w:r>
        <w:t>3</w:t>
      </w:r>
      <w:r>
        <w:rPr>
          <w:rFonts w:hint="eastAsia"/>
        </w:rPr>
        <w:t>，项目周边500m范围内敏感点见表3</w:t>
      </w:r>
      <w:r>
        <w:t>.1</w:t>
      </w:r>
      <w:r>
        <w:rPr>
          <w:rFonts w:hint="eastAsia"/>
        </w:rPr>
        <w:t xml:space="preserve">-1和图3-4。 </w:t>
      </w:r>
    </w:p>
    <w:p>
      <w:pPr>
        <w:pStyle w:val="35"/>
      </w:pPr>
      <w:r>
        <w:tab/>
      </w: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本项目环境保护目标</w:t>
      </w:r>
    </w:p>
    <w:tbl>
      <w:tblPr>
        <w:tblStyle w:val="22"/>
        <w:tblW w:w="823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9"/>
        <w:gridCol w:w="1413"/>
        <w:gridCol w:w="674"/>
        <w:gridCol w:w="675"/>
        <w:gridCol w:w="674"/>
        <w:gridCol w:w="1090"/>
        <w:gridCol w:w="674"/>
        <w:gridCol w:w="846"/>
        <w:gridCol w:w="1747"/>
        <w:gridCol w:w="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2" w:type="dxa"/>
          <w:trHeight w:val="340" w:hRule="atLeast"/>
          <w:tblHeader/>
          <w:jc w:val="center"/>
        </w:trPr>
        <w:tc>
          <w:tcPr>
            <w:tcW w:w="429" w:type="dxa"/>
            <w:vMerge w:val="restart"/>
            <w:vAlign w:val="center"/>
          </w:tcPr>
          <w:p>
            <w:pPr>
              <w:adjustRightInd w:val="0"/>
              <w:snapToGrid w:val="0"/>
              <w:ind w:firstLine="0" w:firstLineChars="0"/>
              <w:jc w:val="center"/>
              <w:rPr>
                <w:rFonts w:cs="Times New Roman"/>
                <w:bCs/>
                <w:sz w:val="21"/>
                <w:szCs w:val="21"/>
              </w:rPr>
            </w:pPr>
            <w:r>
              <w:rPr>
                <w:rFonts w:cs="Times New Roman"/>
                <w:bCs/>
                <w:sz w:val="21"/>
                <w:szCs w:val="21"/>
              </w:rPr>
              <w:t>序号</w:t>
            </w:r>
          </w:p>
        </w:tc>
        <w:tc>
          <w:tcPr>
            <w:tcW w:w="1413" w:type="dxa"/>
            <w:vMerge w:val="restart"/>
            <w:vAlign w:val="center"/>
          </w:tcPr>
          <w:p>
            <w:pPr>
              <w:pStyle w:val="47"/>
              <w:snapToGrid w:val="0"/>
              <w:spacing w:line="240" w:lineRule="auto"/>
              <w:rPr>
                <w:rFonts w:cs="Times New Roman"/>
                <w:bCs/>
              </w:rPr>
            </w:pPr>
            <w:r>
              <w:rPr>
                <w:rFonts w:cs="Times New Roman"/>
                <w:bCs/>
              </w:rPr>
              <w:t>名称</w:t>
            </w:r>
          </w:p>
        </w:tc>
        <w:tc>
          <w:tcPr>
            <w:tcW w:w="1349" w:type="dxa"/>
            <w:gridSpan w:val="2"/>
            <w:vAlign w:val="center"/>
          </w:tcPr>
          <w:p>
            <w:pPr>
              <w:pStyle w:val="47"/>
              <w:snapToGrid w:val="0"/>
              <w:spacing w:line="240" w:lineRule="auto"/>
              <w:rPr>
                <w:rFonts w:cs="Times New Roman"/>
                <w:bCs/>
              </w:rPr>
            </w:pPr>
            <w:r>
              <w:rPr>
                <w:rFonts w:cs="Times New Roman"/>
                <w:bCs/>
              </w:rPr>
              <w:t>坐标/m</w:t>
            </w:r>
          </w:p>
        </w:tc>
        <w:tc>
          <w:tcPr>
            <w:tcW w:w="674" w:type="dxa"/>
            <w:vMerge w:val="restart"/>
            <w:vAlign w:val="center"/>
          </w:tcPr>
          <w:p>
            <w:pPr>
              <w:pStyle w:val="47"/>
              <w:snapToGrid w:val="0"/>
              <w:spacing w:line="240" w:lineRule="auto"/>
              <w:rPr>
                <w:rFonts w:cs="Times New Roman"/>
                <w:bCs/>
              </w:rPr>
            </w:pPr>
            <w:r>
              <w:rPr>
                <w:rFonts w:cs="Times New Roman"/>
                <w:bCs/>
              </w:rPr>
              <w:t>方位</w:t>
            </w:r>
          </w:p>
        </w:tc>
        <w:tc>
          <w:tcPr>
            <w:tcW w:w="1090" w:type="dxa"/>
            <w:vMerge w:val="restart"/>
            <w:vAlign w:val="center"/>
          </w:tcPr>
          <w:p>
            <w:pPr>
              <w:pStyle w:val="47"/>
              <w:snapToGrid w:val="0"/>
              <w:spacing w:line="240" w:lineRule="auto"/>
              <w:ind w:left="-175" w:leftChars="-73" w:right="-122" w:rightChars="-51"/>
              <w:rPr>
                <w:rFonts w:cs="Times New Roman"/>
                <w:bCs/>
              </w:rPr>
            </w:pPr>
            <w:r>
              <w:rPr>
                <w:rFonts w:cs="Times New Roman"/>
                <w:bCs/>
              </w:rPr>
              <w:t>相对站界距离（m）</w:t>
            </w:r>
          </w:p>
        </w:tc>
        <w:tc>
          <w:tcPr>
            <w:tcW w:w="674" w:type="dxa"/>
            <w:vMerge w:val="restart"/>
            <w:vAlign w:val="center"/>
          </w:tcPr>
          <w:p>
            <w:pPr>
              <w:pStyle w:val="47"/>
              <w:snapToGrid w:val="0"/>
              <w:spacing w:line="240" w:lineRule="auto"/>
              <w:rPr>
                <w:rFonts w:cs="Times New Roman"/>
                <w:bCs/>
              </w:rPr>
            </w:pPr>
            <w:r>
              <w:rPr>
                <w:rFonts w:cs="Times New Roman"/>
                <w:bCs/>
              </w:rPr>
              <w:t>功能</w:t>
            </w:r>
          </w:p>
        </w:tc>
        <w:tc>
          <w:tcPr>
            <w:tcW w:w="846" w:type="dxa"/>
            <w:vMerge w:val="restart"/>
            <w:vAlign w:val="center"/>
          </w:tcPr>
          <w:p>
            <w:pPr>
              <w:pStyle w:val="47"/>
              <w:snapToGrid w:val="0"/>
              <w:spacing w:line="240" w:lineRule="auto"/>
              <w:rPr>
                <w:rFonts w:cs="Times New Roman"/>
                <w:bCs/>
              </w:rPr>
            </w:pPr>
            <w:r>
              <w:rPr>
                <w:rFonts w:cs="Times New Roman"/>
                <w:bCs/>
              </w:rPr>
              <w:t>规模（人）</w:t>
            </w:r>
          </w:p>
        </w:tc>
        <w:tc>
          <w:tcPr>
            <w:tcW w:w="1747" w:type="dxa"/>
            <w:vMerge w:val="restart"/>
            <w:vAlign w:val="center"/>
          </w:tcPr>
          <w:p>
            <w:pPr>
              <w:pStyle w:val="47"/>
              <w:snapToGrid w:val="0"/>
              <w:spacing w:line="240" w:lineRule="auto"/>
              <w:rPr>
                <w:rFonts w:cs="Times New Roman"/>
                <w:bCs/>
              </w:rPr>
            </w:pPr>
            <w:r>
              <w:rPr>
                <w:rFonts w:cs="Times New Roman"/>
                <w:bCs/>
              </w:rPr>
              <w:t>保护级别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2" w:type="dxa"/>
          <w:trHeight w:val="340" w:hRule="atLeast"/>
          <w:tblHeader/>
          <w:jc w:val="center"/>
        </w:trPr>
        <w:tc>
          <w:tcPr>
            <w:tcW w:w="429" w:type="dxa"/>
            <w:vMerge w:val="continue"/>
            <w:vAlign w:val="center"/>
          </w:tcPr>
          <w:p>
            <w:pPr>
              <w:adjustRightInd w:val="0"/>
              <w:snapToGrid w:val="0"/>
              <w:ind w:firstLine="0" w:firstLineChars="0"/>
              <w:jc w:val="center"/>
              <w:rPr>
                <w:rFonts w:cs="Times New Roman"/>
                <w:bCs/>
                <w:sz w:val="21"/>
                <w:szCs w:val="21"/>
              </w:rPr>
            </w:pPr>
          </w:p>
        </w:tc>
        <w:tc>
          <w:tcPr>
            <w:tcW w:w="1413" w:type="dxa"/>
            <w:vMerge w:val="continue"/>
            <w:vAlign w:val="center"/>
          </w:tcPr>
          <w:p>
            <w:pPr>
              <w:pStyle w:val="47"/>
              <w:snapToGrid w:val="0"/>
              <w:spacing w:line="240" w:lineRule="auto"/>
              <w:rPr>
                <w:rFonts w:cs="Times New Roman"/>
                <w:bCs/>
              </w:rPr>
            </w:pPr>
          </w:p>
        </w:tc>
        <w:tc>
          <w:tcPr>
            <w:tcW w:w="674" w:type="dxa"/>
            <w:vAlign w:val="center"/>
          </w:tcPr>
          <w:p>
            <w:pPr>
              <w:pStyle w:val="47"/>
              <w:snapToGrid w:val="0"/>
              <w:spacing w:line="240" w:lineRule="auto"/>
              <w:rPr>
                <w:rFonts w:cs="Times New Roman"/>
                <w:bCs/>
              </w:rPr>
            </w:pPr>
            <w:r>
              <w:rPr>
                <w:rFonts w:cs="Times New Roman"/>
                <w:bCs/>
              </w:rPr>
              <w:t>X</w:t>
            </w:r>
          </w:p>
        </w:tc>
        <w:tc>
          <w:tcPr>
            <w:tcW w:w="675" w:type="dxa"/>
            <w:vAlign w:val="center"/>
          </w:tcPr>
          <w:p>
            <w:pPr>
              <w:pStyle w:val="47"/>
              <w:snapToGrid w:val="0"/>
              <w:spacing w:line="240" w:lineRule="auto"/>
              <w:rPr>
                <w:rFonts w:cs="Times New Roman"/>
                <w:bCs/>
              </w:rPr>
            </w:pPr>
            <w:r>
              <w:rPr>
                <w:rFonts w:cs="Times New Roman"/>
                <w:bCs/>
              </w:rPr>
              <w:t>Y</w:t>
            </w:r>
          </w:p>
        </w:tc>
        <w:tc>
          <w:tcPr>
            <w:tcW w:w="674" w:type="dxa"/>
            <w:vMerge w:val="continue"/>
            <w:vAlign w:val="center"/>
          </w:tcPr>
          <w:p>
            <w:pPr>
              <w:pStyle w:val="47"/>
              <w:snapToGrid w:val="0"/>
              <w:spacing w:line="240" w:lineRule="auto"/>
              <w:rPr>
                <w:rFonts w:cs="Times New Roman"/>
                <w:bCs/>
              </w:rPr>
            </w:pPr>
          </w:p>
        </w:tc>
        <w:tc>
          <w:tcPr>
            <w:tcW w:w="1090" w:type="dxa"/>
            <w:vMerge w:val="continue"/>
            <w:vAlign w:val="center"/>
          </w:tcPr>
          <w:p>
            <w:pPr>
              <w:pStyle w:val="47"/>
              <w:snapToGrid w:val="0"/>
              <w:spacing w:line="240" w:lineRule="auto"/>
              <w:rPr>
                <w:rFonts w:cs="Times New Roman"/>
                <w:bCs/>
              </w:rPr>
            </w:pPr>
          </w:p>
        </w:tc>
        <w:tc>
          <w:tcPr>
            <w:tcW w:w="674" w:type="dxa"/>
            <w:vMerge w:val="continue"/>
            <w:vAlign w:val="center"/>
          </w:tcPr>
          <w:p>
            <w:pPr>
              <w:pStyle w:val="47"/>
              <w:snapToGrid w:val="0"/>
              <w:spacing w:line="240" w:lineRule="auto"/>
              <w:rPr>
                <w:rFonts w:cs="Times New Roman"/>
                <w:bCs/>
              </w:rPr>
            </w:pPr>
          </w:p>
        </w:tc>
        <w:tc>
          <w:tcPr>
            <w:tcW w:w="846" w:type="dxa"/>
            <w:vMerge w:val="continue"/>
            <w:vAlign w:val="center"/>
          </w:tcPr>
          <w:p>
            <w:pPr>
              <w:pStyle w:val="47"/>
              <w:snapToGrid w:val="0"/>
              <w:spacing w:line="240" w:lineRule="auto"/>
              <w:rPr>
                <w:rFonts w:cs="Times New Roman"/>
                <w:bCs/>
              </w:rPr>
            </w:pPr>
          </w:p>
        </w:tc>
        <w:tc>
          <w:tcPr>
            <w:tcW w:w="1747" w:type="dxa"/>
            <w:vMerge w:val="continue"/>
            <w:vAlign w:val="center"/>
          </w:tcPr>
          <w:p>
            <w:pPr>
              <w:pStyle w:val="47"/>
              <w:snapToGrid w:val="0"/>
              <w:spacing w:line="240" w:lineRule="auto"/>
              <w:rPr>
                <w:rFonts w:cs="Times New Roman"/>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2" w:type="dxa"/>
          <w:trHeight w:val="340" w:hRule="atLeast"/>
          <w:tblHeader/>
          <w:jc w:val="center"/>
        </w:trPr>
        <w:tc>
          <w:tcPr>
            <w:tcW w:w="429" w:type="dxa"/>
            <w:vAlign w:val="center"/>
          </w:tcPr>
          <w:p>
            <w:pPr>
              <w:adjustRightInd w:val="0"/>
              <w:snapToGrid w:val="0"/>
              <w:ind w:firstLine="0" w:firstLineChars="0"/>
              <w:jc w:val="center"/>
              <w:rPr>
                <w:rFonts w:cs="Times New Roman"/>
                <w:bCs/>
                <w:sz w:val="21"/>
                <w:szCs w:val="21"/>
              </w:rPr>
            </w:pPr>
            <w:r>
              <w:rPr>
                <w:rFonts w:cs="Times New Roman"/>
                <w:bCs/>
                <w:sz w:val="21"/>
                <w:szCs w:val="21"/>
              </w:rPr>
              <w:t>1</w:t>
            </w:r>
          </w:p>
        </w:tc>
        <w:tc>
          <w:tcPr>
            <w:tcW w:w="1413" w:type="dxa"/>
            <w:vAlign w:val="center"/>
          </w:tcPr>
          <w:p>
            <w:pPr>
              <w:ind w:left="-115" w:leftChars="-48" w:right="-91" w:rightChars="-38" w:firstLine="0" w:firstLineChars="0"/>
              <w:jc w:val="center"/>
              <w:rPr>
                <w:rFonts w:cs="Times New Roman"/>
                <w:bCs/>
                <w:sz w:val="21"/>
                <w:szCs w:val="21"/>
              </w:rPr>
            </w:pPr>
            <w:r>
              <w:rPr>
                <w:rFonts w:cs="Times New Roman"/>
                <w:bCs/>
                <w:sz w:val="21"/>
                <w:szCs w:val="21"/>
              </w:rPr>
              <w:t>中梁公园壹号</w:t>
            </w:r>
          </w:p>
        </w:tc>
        <w:tc>
          <w:tcPr>
            <w:tcW w:w="674"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28</w:t>
            </w:r>
          </w:p>
        </w:tc>
        <w:tc>
          <w:tcPr>
            <w:tcW w:w="675"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0</w:t>
            </w:r>
          </w:p>
        </w:tc>
        <w:tc>
          <w:tcPr>
            <w:tcW w:w="674" w:type="dxa"/>
            <w:vAlign w:val="center"/>
          </w:tcPr>
          <w:p>
            <w:pPr>
              <w:ind w:firstLine="0" w:firstLineChars="0"/>
              <w:jc w:val="center"/>
              <w:rPr>
                <w:rFonts w:cs="Times New Roman"/>
                <w:bCs/>
                <w:sz w:val="21"/>
                <w:szCs w:val="21"/>
              </w:rPr>
            </w:pPr>
            <w:r>
              <w:rPr>
                <w:rFonts w:cs="Times New Roman"/>
                <w:bCs/>
                <w:sz w:val="21"/>
                <w:szCs w:val="21"/>
              </w:rPr>
              <w:t>东</w:t>
            </w:r>
          </w:p>
        </w:tc>
        <w:tc>
          <w:tcPr>
            <w:tcW w:w="1090" w:type="dxa"/>
            <w:vAlign w:val="center"/>
          </w:tcPr>
          <w:p>
            <w:pPr>
              <w:ind w:firstLine="0" w:firstLineChars="0"/>
              <w:jc w:val="center"/>
              <w:rPr>
                <w:rFonts w:cs="Times New Roman"/>
                <w:bCs/>
                <w:sz w:val="21"/>
                <w:szCs w:val="21"/>
              </w:rPr>
            </w:pPr>
            <w:r>
              <w:rPr>
                <w:rFonts w:cs="Times New Roman"/>
                <w:bCs/>
                <w:sz w:val="21"/>
                <w:szCs w:val="21"/>
              </w:rPr>
              <w:t>28</w:t>
            </w:r>
          </w:p>
        </w:tc>
        <w:tc>
          <w:tcPr>
            <w:tcW w:w="674"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小区</w:t>
            </w:r>
          </w:p>
        </w:tc>
        <w:tc>
          <w:tcPr>
            <w:tcW w:w="846"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1800</w:t>
            </w:r>
          </w:p>
        </w:tc>
        <w:tc>
          <w:tcPr>
            <w:tcW w:w="1747" w:type="dxa"/>
            <w:vMerge w:val="restart"/>
            <w:vAlign w:val="center"/>
          </w:tcPr>
          <w:p>
            <w:pPr>
              <w:adjustRightInd w:val="0"/>
              <w:snapToGrid w:val="0"/>
              <w:ind w:firstLine="0" w:firstLineChars="0"/>
              <w:jc w:val="center"/>
              <w:rPr>
                <w:rFonts w:cs="Times New Roman"/>
                <w:bCs/>
                <w:sz w:val="21"/>
                <w:szCs w:val="21"/>
              </w:rPr>
            </w:pPr>
            <w:r>
              <w:rPr>
                <w:rFonts w:cs="Times New Roman"/>
                <w:bCs/>
                <w:sz w:val="21"/>
                <w:szCs w:val="21"/>
              </w:rPr>
              <w:t>《环境空气质量标准》（GB3095 -2012）及其2018修改单中的二级标准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2" w:type="dxa"/>
          <w:trHeight w:val="340" w:hRule="atLeast"/>
          <w:tblHeader/>
          <w:jc w:val="center"/>
        </w:trPr>
        <w:tc>
          <w:tcPr>
            <w:tcW w:w="429" w:type="dxa"/>
            <w:vAlign w:val="center"/>
          </w:tcPr>
          <w:p>
            <w:pPr>
              <w:adjustRightInd w:val="0"/>
              <w:snapToGrid w:val="0"/>
              <w:ind w:firstLine="0" w:firstLineChars="0"/>
              <w:jc w:val="center"/>
              <w:rPr>
                <w:rFonts w:cs="Times New Roman"/>
                <w:bCs/>
                <w:sz w:val="21"/>
                <w:szCs w:val="21"/>
              </w:rPr>
            </w:pPr>
            <w:r>
              <w:rPr>
                <w:rFonts w:cs="Times New Roman"/>
                <w:bCs/>
                <w:sz w:val="21"/>
                <w:szCs w:val="21"/>
              </w:rPr>
              <w:t>2</w:t>
            </w:r>
          </w:p>
        </w:tc>
        <w:tc>
          <w:tcPr>
            <w:tcW w:w="1413" w:type="dxa"/>
            <w:vAlign w:val="center"/>
          </w:tcPr>
          <w:p>
            <w:pPr>
              <w:ind w:left="-115" w:leftChars="-48" w:right="-91" w:rightChars="-38" w:firstLine="0" w:firstLineChars="0"/>
              <w:jc w:val="center"/>
              <w:rPr>
                <w:rFonts w:cs="Times New Roman"/>
                <w:bCs/>
                <w:sz w:val="21"/>
                <w:szCs w:val="21"/>
              </w:rPr>
            </w:pPr>
            <w:r>
              <w:rPr>
                <w:rFonts w:cs="Times New Roman"/>
                <w:bCs/>
                <w:sz w:val="21"/>
                <w:szCs w:val="21"/>
              </w:rPr>
              <w:t>万福名雅城</w:t>
            </w:r>
          </w:p>
        </w:tc>
        <w:tc>
          <w:tcPr>
            <w:tcW w:w="674"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-45</w:t>
            </w:r>
          </w:p>
        </w:tc>
        <w:tc>
          <w:tcPr>
            <w:tcW w:w="675"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100</w:t>
            </w:r>
          </w:p>
        </w:tc>
        <w:tc>
          <w:tcPr>
            <w:tcW w:w="674" w:type="dxa"/>
            <w:vAlign w:val="center"/>
          </w:tcPr>
          <w:p>
            <w:pPr>
              <w:ind w:firstLine="0" w:firstLineChars="0"/>
              <w:jc w:val="center"/>
              <w:rPr>
                <w:rFonts w:cs="Times New Roman"/>
                <w:bCs/>
                <w:sz w:val="21"/>
                <w:szCs w:val="21"/>
              </w:rPr>
            </w:pPr>
            <w:r>
              <w:rPr>
                <w:rFonts w:cs="Times New Roman"/>
                <w:bCs/>
                <w:sz w:val="21"/>
                <w:szCs w:val="21"/>
              </w:rPr>
              <w:t>西北</w:t>
            </w:r>
          </w:p>
        </w:tc>
        <w:tc>
          <w:tcPr>
            <w:tcW w:w="1090" w:type="dxa"/>
            <w:vAlign w:val="center"/>
          </w:tcPr>
          <w:p>
            <w:pPr>
              <w:ind w:firstLine="0" w:firstLineChars="0"/>
              <w:jc w:val="center"/>
              <w:rPr>
                <w:rFonts w:cs="Times New Roman"/>
                <w:bCs/>
                <w:sz w:val="21"/>
                <w:szCs w:val="21"/>
              </w:rPr>
            </w:pPr>
            <w:r>
              <w:rPr>
                <w:rFonts w:cs="Times New Roman"/>
                <w:bCs/>
                <w:sz w:val="21"/>
                <w:szCs w:val="21"/>
              </w:rPr>
              <w:t>65</w:t>
            </w:r>
          </w:p>
        </w:tc>
        <w:tc>
          <w:tcPr>
            <w:tcW w:w="674"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小区</w:t>
            </w:r>
          </w:p>
        </w:tc>
        <w:tc>
          <w:tcPr>
            <w:tcW w:w="846"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9000</w:t>
            </w:r>
          </w:p>
        </w:tc>
        <w:tc>
          <w:tcPr>
            <w:tcW w:w="1747" w:type="dxa"/>
            <w:vMerge w:val="continue"/>
            <w:vAlign w:val="center"/>
          </w:tcPr>
          <w:p>
            <w:pPr>
              <w:adjustRightInd w:val="0"/>
              <w:snapToGrid w:val="0"/>
              <w:ind w:firstLine="0" w:firstLineChars="0"/>
              <w:jc w:val="center"/>
              <w:rPr>
                <w:rFonts w:cs="Times New Roman"/>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2" w:type="dxa"/>
          <w:trHeight w:val="340" w:hRule="atLeast"/>
          <w:tblHeader/>
          <w:jc w:val="center"/>
        </w:trPr>
        <w:tc>
          <w:tcPr>
            <w:tcW w:w="429" w:type="dxa"/>
            <w:vAlign w:val="center"/>
          </w:tcPr>
          <w:p>
            <w:pPr>
              <w:adjustRightInd w:val="0"/>
              <w:snapToGrid w:val="0"/>
              <w:ind w:firstLine="0" w:firstLineChars="0"/>
              <w:jc w:val="center"/>
              <w:rPr>
                <w:rFonts w:cs="Times New Roman"/>
                <w:bCs/>
                <w:sz w:val="21"/>
                <w:szCs w:val="21"/>
              </w:rPr>
            </w:pPr>
            <w:r>
              <w:rPr>
                <w:rFonts w:cs="Times New Roman"/>
                <w:bCs/>
                <w:sz w:val="21"/>
                <w:szCs w:val="21"/>
              </w:rPr>
              <w:t>3</w:t>
            </w:r>
          </w:p>
        </w:tc>
        <w:tc>
          <w:tcPr>
            <w:tcW w:w="1413" w:type="dxa"/>
            <w:vAlign w:val="center"/>
          </w:tcPr>
          <w:p>
            <w:pPr>
              <w:ind w:left="-115" w:leftChars="-48" w:right="-91" w:rightChars="-38" w:firstLine="0" w:firstLineChars="0"/>
              <w:jc w:val="center"/>
              <w:rPr>
                <w:rFonts w:cs="Times New Roman"/>
                <w:bCs/>
                <w:sz w:val="21"/>
                <w:szCs w:val="21"/>
              </w:rPr>
            </w:pPr>
            <w:r>
              <w:rPr>
                <w:rFonts w:cs="Times New Roman"/>
                <w:bCs/>
                <w:sz w:val="21"/>
                <w:szCs w:val="21"/>
              </w:rPr>
              <w:t>姑娘坡队</w:t>
            </w:r>
          </w:p>
        </w:tc>
        <w:tc>
          <w:tcPr>
            <w:tcW w:w="674"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115</w:t>
            </w:r>
          </w:p>
        </w:tc>
        <w:tc>
          <w:tcPr>
            <w:tcW w:w="675"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-185</w:t>
            </w:r>
          </w:p>
        </w:tc>
        <w:tc>
          <w:tcPr>
            <w:tcW w:w="674" w:type="dxa"/>
            <w:vAlign w:val="center"/>
          </w:tcPr>
          <w:p>
            <w:pPr>
              <w:ind w:firstLine="0" w:firstLineChars="0"/>
              <w:jc w:val="center"/>
              <w:rPr>
                <w:rFonts w:cs="Times New Roman"/>
                <w:bCs/>
                <w:sz w:val="21"/>
                <w:szCs w:val="21"/>
              </w:rPr>
            </w:pPr>
            <w:r>
              <w:rPr>
                <w:rFonts w:cs="Times New Roman"/>
                <w:bCs/>
                <w:sz w:val="21"/>
                <w:szCs w:val="21"/>
              </w:rPr>
              <w:t>东南</w:t>
            </w:r>
          </w:p>
        </w:tc>
        <w:tc>
          <w:tcPr>
            <w:tcW w:w="1090" w:type="dxa"/>
            <w:vAlign w:val="center"/>
          </w:tcPr>
          <w:p>
            <w:pPr>
              <w:ind w:firstLine="0" w:firstLineChars="0"/>
              <w:jc w:val="center"/>
              <w:rPr>
                <w:rFonts w:cs="Times New Roman"/>
                <w:bCs/>
                <w:sz w:val="21"/>
                <w:szCs w:val="21"/>
              </w:rPr>
            </w:pPr>
            <w:r>
              <w:rPr>
                <w:rFonts w:cs="Times New Roman"/>
                <w:bCs/>
                <w:sz w:val="21"/>
                <w:szCs w:val="21"/>
              </w:rPr>
              <w:t>165</w:t>
            </w:r>
          </w:p>
        </w:tc>
        <w:tc>
          <w:tcPr>
            <w:tcW w:w="674"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村庄</w:t>
            </w:r>
          </w:p>
        </w:tc>
        <w:tc>
          <w:tcPr>
            <w:tcW w:w="846"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300</w:t>
            </w:r>
          </w:p>
        </w:tc>
        <w:tc>
          <w:tcPr>
            <w:tcW w:w="1747" w:type="dxa"/>
            <w:vMerge w:val="continue"/>
            <w:vAlign w:val="center"/>
          </w:tcPr>
          <w:p>
            <w:pPr>
              <w:adjustRightInd w:val="0"/>
              <w:snapToGrid w:val="0"/>
              <w:ind w:firstLine="0" w:firstLineChars="0"/>
              <w:jc w:val="center"/>
              <w:rPr>
                <w:rFonts w:cs="Times New Roman"/>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2" w:type="dxa"/>
          <w:trHeight w:val="340" w:hRule="atLeast"/>
          <w:tblHeader/>
          <w:jc w:val="center"/>
        </w:trPr>
        <w:tc>
          <w:tcPr>
            <w:tcW w:w="429" w:type="dxa"/>
            <w:vAlign w:val="center"/>
          </w:tcPr>
          <w:p>
            <w:pPr>
              <w:adjustRightInd w:val="0"/>
              <w:snapToGrid w:val="0"/>
              <w:ind w:firstLine="0" w:firstLineChars="0"/>
              <w:jc w:val="center"/>
              <w:rPr>
                <w:rFonts w:cs="Times New Roman"/>
                <w:bCs/>
                <w:sz w:val="21"/>
                <w:szCs w:val="21"/>
              </w:rPr>
            </w:pPr>
            <w:r>
              <w:rPr>
                <w:rFonts w:cs="Times New Roman"/>
                <w:bCs/>
                <w:sz w:val="21"/>
                <w:szCs w:val="21"/>
              </w:rPr>
              <w:t>4</w:t>
            </w:r>
          </w:p>
        </w:tc>
        <w:tc>
          <w:tcPr>
            <w:tcW w:w="1413" w:type="dxa"/>
            <w:vAlign w:val="center"/>
          </w:tcPr>
          <w:p>
            <w:pPr>
              <w:ind w:left="-115" w:leftChars="-48" w:right="-91" w:rightChars="-38" w:firstLine="0" w:firstLineChars="0"/>
              <w:jc w:val="center"/>
              <w:rPr>
                <w:rFonts w:cs="Times New Roman"/>
                <w:bCs/>
                <w:sz w:val="21"/>
                <w:szCs w:val="21"/>
              </w:rPr>
            </w:pPr>
            <w:r>
              <w:rPr>
                <w:rFonts w:cs="Times New Roman"/>
                <w:bCs/>
                <w:sz w:val="21"/>
                <w:szCs w:val="21"/>
              </w:rPr>
              <w:t>广垦华府</w:t>
            </w:r>
          </w:p>
        </w:tc>
        <w:tc>
          <w:tcPr>
            <w:tcW w:w="674"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195</w:t>
            </w:r>
          </w:p>
        </w:tc>
        <w:tc>
          <w:tcPr>
            <w:tcW w:w="675"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0</w:t>
            </w:r>
          </w:p>
        </w:tc>
        <w:tc>
          <w:tcPr>
            <w:tcW w:w="674" w:type="dxa"/>
            <w:vAlign w:val="center"/>
          </w:tcPr>
          <w:p>
            <w:pPr>
              <w:ind w:firstLine="0" w:firstLineChars="0"/>
              <w:jc w:val="center"/>
              <w:rPr>
                <w:rFonts w:cs="Times New Roman"/>
                <w:bCs/>
                <w:sz w:val="21"/>
                <w:szCs w:val="21"/>
              </w:rPr>
            </w:pPr>
            <w:r>
              <w:rPr>
                <w:rFonts w:cs="Times New Roman"/>
                <w:bCs/>
                <w:sz w:val="21"/>
                <w:szCs w:val="21"/>
              </w:rPr>
              <w:t>东</w:t>
            </w:r>
          </w:p>
        </w:tc>
        <w:tc>
          <w:tcPr>
            <w:tcW w:w="1090" w:type="dxa"/>
            <w:vAlign w:val="center"/>
          </w:tcPr>
          <w:p>
            <w:pPr>
              <w:ind w:firstLine="0" w:firstLineChars="0"/>
              <w:jc w:val="center"/>
              <w:rPr>
                <w:rFonts w:cs="Times New Roman"/>
                <w:bCs/>
                <w:sz w:val="21"/>
                <w:szCs w:val="21"/>
              </w:rPr>
            </w:pPr>
            <w:r>
              <w:rPr>
                <w:rFonts w:cs="Times New Roman"/>
                <w:bCs/>
                <w:sz w:val="21"/>
                <w:szCs w:val="21"/>
              </w:rPr>
              <w:t>195</w:t>
            </w:r>
          </w:p>
        </w:tc>
        <w:tc>
          <w:tcPr>
            <w:tcW w:w="674"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小区</w:t>
            </w:r>
          </w:p>
        </w:tc>
        <w:tc>
          <w:tcPr>
            <w:tcW w:w="846"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3500</w:t>
            </w:r>
          </w:p>
        </w:tc>
        <w:tc>
          <w:tcPr>
            <w:tcW w:w="1747" w:type="dxa"/>
            <w:vMerge w:val="continue"/>
            <w:vAlign w:val="center"/>
          </w:tcPr>
          <w:p>
            <w:pPr>
              <w:adjustRightInd w:val="0"/>
              <w:snapToGrid w:val="0"/>
              <w:ind w:firstLine="0" w:firstLineChars="0"/>
              <w:jc w:val="center"/>
              <w:rPr>
                <w:rFonts w:cs="Times New Roman"/>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2" w:type="dxa"/>
          <w:trHeight w:val="340" w:hRule="atLeast"/>
          <w:tblHeader/>
          <w:jc w:val="center"/>
        </w:trPr>
        <w:tc>
          <w:tcPr>
            <w:tcW w:w="429" w:type="dxa"/>
            <w:vAlign w:val="center"/>
          </w:tcPr>
          <w:p>
            <w:pPr>
              <w:adjustRightInd w:val="0"/>
              <w:snapToGrid w:val="0"/>
              <w:ind w:firstLine="0" w:firstLineChars="0"/>
              <w:jc w:val="center"/>
              <w:rPr>
                <w:rFonts w:cs="Times New Roman"/>
                <w:bCs/>
                <w:sz w:val="21"/>
                <w:szCs w:val="21"/>
              </w:rPr>
            </w:pPr>
            <w:r>
              <w:rPr>
                <w:rFonts w:cs="Times New Roman"/>
                <w:bCs/>
                <w:sz w:val="21"/>
                <w:szCs w:val="21"/>
              </w:rPr>
              <w:t>5</w:t>
            </w:r>
          </w:p>
        </w:tc>
        <w:tc>
          <w:tcPr>
            <w:tcW w:w="1413" w:type="dxa"/>
            <w:vAlign w:val="center"/>
          </w:tcPr>
          <w:p>
            <w:pPr>
              <w:ind w:left="-115" w:leftChars="-48" w:right="-91" w:rightChars="-38" w:firstLine="0" w:firstLineChars="0"/>
              <w:jc w:val="center"/>
              <w:rPr>
                <w:rFonts w:cs="Times New Roman"/>
                <w:bCs/>
                <w:sz w:val="21"/>
                <w:szCs w:val="21"/>
              </w:rPr>
            </w:pPr>
            <w:r>
              <w:rPr>
                <w:rFonts w:cs="Times New Roman"/>
                <w:bCs/>
                <w:sz w:val="21"/>
                <w:szCs w:val="21"/>
              </w:rPr>
              <w:t>居民楼</w:t>
            </w:r>
          </w:p>
        </w:tc>
        <w:tc>
          <w:tcPr>
            <w:tcW w:w="674"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-205</w:t>
            </w:r>
          </w:p>
        </w:tc>
        <w:tc>
          <w:tcPr>
            <w:tcW w:w="675"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0</w:t>
            </w:r>
          </w:p>
        </w:tc>
        <w:tc>
          <w:tcPr>
            <w:tcW w:w="674" w:type="dxa"/>
            <w:vAlign w:val="center"/>
          </w:tcPr>
          <w:p>
            <w:pPr>
              <w:ind w:firstLine="0" w:firstLineChars="0"/>
              <w:jc w:val="center"/>
              <w:rPr>
                <w:rFonts w:cs="Times New Roman"/>
                <w:bCs/>
                <w:sz w:val="21"/>
                <w:szCs w:val="21"/>
              </w:rPr>
            </w:pPr>
            <w:r>
              <w:rPr>
                <w:rFonts w:cs="Times New Roman"/>
                <w:bCs/>
                <w:sz w:val="21"/>
                <w:szCs w:val="21"/>
              </w:rPr>
              <w:t>西</w:t>
            </w:r>
          </w:p>
        </w:tc>
        <w:tc>
          <w:tcPr>
            <w:tcW w:w="1090" w:type="dxa"/>
            <w:vAlign w:val="center"/>
          </w:tcPr>
          <w:p>
            <w:pPr>
              <w:ind w:firstLine="0" w:firstLineChars="0"/>
              <w:jc w:val="center"/>
              <w:rPr>
                <w:rFonts w:cs="Times New Roman"/>
                <w:bCs/>
                <w:sz w:val="21"/>
                <w:szCs w:val="21"/>
              </w:rPr>
            </w:pPr>
            <w:r>
              <w:rPr>
                <w:rFonts w:cs="Times New Roman"/>
                <w:bCs/>
                <w:sz w:val="21"/>
                <w:szCs w:val="21"/>
              </w:rPr>
              <w:t>205</w:t>
            </w:r>
          </w:p>
        </w:tc>
        <w:tc>
          <w:tcPr>
            <w:tcW w:w="674"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民房</w:t>
            </w:r>
          </w:p>
        </w:tc>
        <w:tc>
          <w:tcPr>
            <w:tcW w:w="846"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200</w:t>
            </w:r>
          </w:p>
        </w:tc>
        <w:tc>
          <w:tcPr>
            <w:tcW w:w="1747" w:type="dxa"/>
            <w:vMerge w:val="continue"/>
            <w:vAlign w:val="center"/>
          </w:tcPr>
          <w:p>
            <w:pPr>
              <w:adjustRightInd w:val="0"/>
              <w:snapToGrid w:val="0"/>
              <w:ind w:firstLine="0" w:firstLineChars="0"/>
              <w:jc w:val="center"/>
              <w:rPr>
                <w:rFonts w:cs="Times New Roman"/>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2" w:type="dxa"/>
          <w:trHeight w:val="340" w:hRule="atLeast"/>
          <w:tblHeader/>
          <w:jc w:val="center"/>
        </w:trPr>
        <w:tc>
          <w:tcPr>
            <w:tcW w:w="429" w:type="dxa"/>
            <w:vAlign w:val="center"/>
          </w:tcPr>
          <w:p>
            <w:pPr>
              <w:adjustRightInd w:val="0"/>
              <w:snapToGrid w:val="0"/>
              <w:ind w:firstLine="0" w:firstLineChars="0"/>
              <w:jc w:val="center"/>
              <w:rPr>
                <w:rFonts w:cs="Times New Roman"/>
                <w:bCs/>
                <w:sz w:val="21"/>
                <w:szCs w:val="21"/>
              </w:rPr>
            </w:pPr>
            <w:r>
              <w:rPr>
                <w:rFonts w:cs="Times New Roman"/>
                <w:bCs/>
                <w:sz w:val="21"/>
                <w:szCs w:val="21"/>
              </w:rPr>
              <w:t>6</w:t>
            </w:r>
          </w:p>
        </w:tc>
        <w:tc>
          <w:tcPr>
            <w:tcW w:w="1413" w:type="dxa"/>
            <w:vAlign w:val="center"/>
          </w:tcPr>
          <w:p>
            <w:pPr>
              <w:ind w:left="-115" w:leftChars="-48" w:right="-91" w:rightChars="-38" w:firstLine="0" w:firstLineChars="0"/>
              <w:jc w:val="center"/>
              <w:rPr>
                <w:rFonts w:cs="Times New Roman"/>
                <w:bCs/>
                <w:sz w:val="21"/>
                <w:szCs w:val="21"/>
              </w:rPr>
            </w:pPr>
            <w:r>
              <w:rPr>
                <w:rFonts w:cs="Times New Roman"/>
                <w:bCs/>
                <w:sz w:val="21"/>
                <w:szCs w:val="21"/>
              </w:rPr>
              <w:t>湖光山色</w:t>
            </w:r>
          </w:p>
        </w:tc>
        <w:tc>
          <w:tcPr>
            <w:tcW w:w="674"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-325</w:t>
            </w:r>
          </w:p>
        </w:tc>
        <w:tc>
          <w:tcPr>
            <w:tcW w:w="675"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0</w:t>
            </w:r>
          </w:p>
        </w:tc>
        <w:tc>
          <w:tcPr>
            <w:tcW w:w="674" w:type="dxa"/>
            <w:vAlign w:val="center"/>
          </w:tcPr>
          <w:p>
            <w:pPr>
              <w:ind w:firstLine="0" w:firstLineChars="0"/>
              <w:jc w:val="center"/>
              <w:rPr>
                <w:rFonts w:cs="Times New Roman"/>
                <w:bCs/>
                <w:sz w:val="21"/>
                <w:szCs w:val="21"/>
              </w:rPr>
            </w:pPr>
            <w:r>
              <w:rPr>
                <w:rFonts w:cs="Times New Roman"/>
                <w:bCs/>
                <w:sz w:val="21"/>
                <w:szCs w:val="21"/>
              </w:rPr>
              <w:t>西</w:t>
            </w:r>
          </w:p>
        </w:tc>
        <w:tc>
          <w:tcPr>
            <w:tcW w:w="1090" w:type="dxa"/>
            <w:vAlign w:val="center"/>
          </w:tcPr>
          <w:p>
            <w:pPr>
              <w:ind w:firstLine="0" w:firstLineChars="0"/>
              <w:jc w:val="center"/>
              <w:rPr>
                <w:rFonts w:cs="Times New Roman"/>
                <w:bCs/>
                <w:sz w:val="21"/>
                <w:szCs w:val="21"/>
              </w:rPr>
            </w:pPr>
            <w:r>
              <w:rPr>
                <w:rFonts w:cs="Times New Roman"/>
                <w:bCs/>
                <w:sz w:val="21"/>
                <w:szCs w:val="21"/>
              </w:rPr>
              <w:t>325</w:t>
            </w:r>
          </w:p>
        </w:tc>
        <w:tc>
          <w:tcPr>
            <w:tcW w:w="674"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小区</w:t>
            </w:r>
          </w:p>
        </w:tc>
        <w:tc>
          <w:tcPr>
            <w:tcW w:w="846"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2500</w:t>
            </w:r>
          </w:p>
        </w:tc>
        <w:tc>
          <w:tcPr>
            <w:tcW w:w="1747" w:type="dxa"/>
            <w:vMerge w:val="continue"/>
            <w:vAlign w:val="center"/>
          </w:tcPr>
          <w:p>
            <w:pPr>
              <w:adjustRightInd w:val="0"/>
              <w:snapToGrid w:val="0"/>
              <w:ind w:firstLine="0" w:firstLineChars="0"/>
              <w:jc w:val="center"/>
              <w:rPr>
                <w:rFonts w:cs="Times New Roman"/>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2" w:type="dxa"/>
          <w:trHeight w:val="340" w:hRule="atLeast"/>
          <w:tblHeader/>
          <w:jc w:val="center"/>
        </w:trPr>
        <w:tc>
          <w:tcPr>
            <w:tcW w:w="429" w:type="dxa"/>
            <w:vAlign w:val="center"/>
          </w:tcPr>
          <w:p>
            <w:pPr>
              <w:adjustRightInd w:val="0"/>
              <w:snapToGrid w:val="0"/>
              <w:ind w:firstLine="0" w:firstLineChars="0"/>
              <w:jc w:val="center"/>
              <w:rPr>
                <w:rFonts w:cs="Times New Roman"/>
                <w:bCs/>
                <w:sz w:val="21"/>
                <w:szCs w:val="21"/>
              </w:rPr>
            </w:pPr>
            <w:r>
              <w:rPr>
                <w:rFonts w:cs="Times New Roman"/>
                <w:bCs/>
                <w:sz w:val="21"/>
                <w:szCs w:val="21"/>
              </w:rPr>
              <w:t>7</w:t>
            </w:r>
          </w:p>
        </w:tc>
        <w:tc>
          <w:tcPr>
            <w:tcW w:w="1413" w:type="dxa"/>
            <w:vAlign w:val="center"/>
          </w:tcPr>
          <w:p>
            <w:pPr>
              <w:ind w:left="-115" w:leftChars="-48" w:right="-91" w:rightChars="-38" w:firstLine="0" w:firstLineChars="0"/>
              <w:jc w:val="center"/>
              <w:rPr>
                <w:rFonts w:cs="Times New Roman"/>
                <w:bCs/>
                <w:sz w:val="21"/>
                <w:szCs w:val="21"/>
              </w:rPr>
            </w:pPr>
            <w:r>
              <w:rPr>
                <w:rFonts w:cs="Times New Roman"/>
                <w:bCs/>
                <w:sz w:val="21"/>
                <w:szCs w:val="21"/>
              </w:rPr>
              <w:t>万福状元楼</w:t>
            </w:r>
          </w:p>
        </w:tc>
        <w:tc>
          <w:tcPr>
            <w:tcW w:w="674"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-360</w:t>
            </w:r>
          </w:p>
        </w:tc>
        <w:tc>
          <w:tcPr>
            <w:tcW w:w="675"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365</w:t>
            </w:r>
          </w:p>
        </w:tc>
        <w:tc>
          <w:tcPr>
            <w:tcW w:w="674" w:type="dxa"/>
            <w:vAlign w:val="center"/>
          </w:tcPr>
          <w:p>
            <w:pPr>
              <w:ind w:firstLine="0" w:firstLineChars="0"/>
              <w:jc w:val="center"/>
              <w:rPr>
                <w:rFonts w:cs="Times New Roman"/>
                <w:bCs/>
                <w:sz w:val="21"/>
                <w:szCs w:val="21"/>
              </w:rPr>
            </w:pPr>
            <w:r>
              <w:rPr>
                <w:rFonts w:cs="Times New Roman"/>
                <w:bCs/>
                <w:sz w:val="21"/>
                <w:szCs w:val="21"/>
              </w:rPr>
              <w:t>西北</w:t>
            </w:r>
          </w:p>
        </w:tc>
        <w:tc>
          <w:tcPr>
            <w:tcW w:w="1090" w:type="dxa"/>
            <w:vAlign w:val="center"/>
          </w:tcPr>
          <w:p>
            <w:pPr>
              <w:ind w:firstLine="0" w:firstLineChars="0"/>
              <w:jc w:val="center"/>
              <w:rPr>
                <w:rFonts w:cs="Times New Roman"/>
                <w:bCs/>
                <w:sz w:val="21"/>
                <w:szCs w:val="21"/>
              </w:rPr>
            </w:pPr>
            <w:r>
              <w:rPr>
                <w:rFonts w:cs="Times New Roman"/>
                <w:bCs/>
                <w:sz w:val="21"/>
                <w:szCs w:val="21"/>
              </w:rPr>
              <w:t>470</w:t>
            </w:r>
          </w:p>
        </w:tc>
        <w:tc>
          <w:tcPr>
            <w:tcW w:w="674"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小区</w:t>
            </w:r>
          </w:p>
        </w:tc>
        <w:tc>
          <w:tcPr>
            <w:tcW w:w="846" w:type="dxa"/>
            <w:vAlign w:val="center"/>
          </w:tcPr>
          <w:p>
            <w:pPr>
              <w:pStyle w:val="48"/>
              <w:spacing w:line="240" w:lineRule="auto"/>
              <w:rPr>
                <w:rFonts w:eastAsia="宋体" w:cs="Times New Roman"/>
                <w:color w:val="auto"/>
                <w:sz w:val="21"/>
                <w:szCs w:val="21"/>
              </w:rPr>
            </w:pPr>
            <w:r>
              <w:rPr>
                <w:rFonts w:eastAsia="宋体" w:cs="Times New Roman"/>
                <w:color w:val="auto"/>
                <w:sz w:val="21"/>
                <w:szCs w:val="21"/>
              </w:rPr>
              <w:t>300</w:t>
            </w:r>
          </w:p>
        </w:tc>
        <w:tc>
          <w:tcPr>
            <w:tcW w:w="1747" w:type="dxa"/>
            <w:vMerge w:val="continue"/>
            <w:vAlign w:val="center"/>
          </w:tcPr>
          <w:p>
            <w:pPr>
              <w:adjustRightInd w:val="0"/>
              <w:snapToGrid w:val="0"/>
              <w:ind w:firstLine="0" w:firstLineChars="0"/>
              <w:jc w:val="center"/>
              <w:rPr>
                <w:rFonts w:cs="Times New Roman"/>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234" w:type="dxa"/>
            <w:gridSpan w:val="10"/>
            <w:vAlign w:val="center"/>
          </w:tcPr>
          <w:p>
            <w:pPr>
              <w:adjustRightInd w:val="0"/>
              <w:snapToGrid w:val="0"/>
              <w:ind w:firstLine="0" w:firstLineChars="0"/>
              <w:rPr>
                <w:rFonts w:cs="Times New Roman"/>
                <w:bCs/>
                <w:sz w:val="21"/>
                <w:szCs w:val="21"/>
              </w:rPr>
            </w:pPr>
            <w:r>
              <w:rPr>
                <w:rFonts w:cs="Times New Roman"/>
                <w:sz w:val="21"/>
                <w:szCs w:val="21"/>
              </w:rPr>
              <w:t>注：坐标系是以项目站区中心为原点，其中心地理坐标为：东经110°52′5.485″，北纬21°53′49.984″，正Y轴方向为正北方向的坐标系。</w:t>
            </w:r>
          </w:p>
        </w:tc>
      </w:tr>
    </w:tbl>
    <w:p>
      <w:pPr>
        <w:tabs>
          <w:tab w:val="left" w:pos="3782"/>
        </w:tabs>
        <w:ind w:firstLine="480"/>
      </w:pPr>
    </w:p>
    <w:p>
      <w:pPr>
        <w:tabs>
          <w:tab w:val="left" w:pos="2680"/>
        </w:tabs>
        <w:ind w:firstLine="480"/>
        <w:sectPr>
          <w:pgSz w:w="11906" w:h="16838"/>
          <w:pgMar w:top="1440" w:right="1800" w:bottom="1440" w:left="1800" w:header="851" w:footer="992" w:gutter="0"/>
          <w:cols w:space="425" w:num="1"/>
          <w:docGrid w:type="lines" w:linePitch="312" w:charSpace="0"/>
        </w:sectPr>
      </w:pPr>
      <w:r>
        <w:tab/>
      </w:r>
    </w:p>
    <w:p>
      <w:pPr>
        <w:pStyle w:val="31"/>
      </w:pPr>
      <w:r>
        <w:drawing>
          <wp:inline distT="0" distB="0" distL="0" distR="0">
            <wp:extent cx="7656195" cy="5346065"/>
            <wp:effectExtent l="0" t="0" r="1905" b="6985"/>
            <wp:docPr id="13890967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096726" name="图片 1"/>
                    <pic:cNvPicPr>
                      <a:picLocks noChangeAspect="1"/>
                    </pic:cNvPicPr>
                  </pic:nvPicPr>
                  <pic:blipFill>
                    <a:blip r:embed="rId12"/>
                    <a:stretch>
                      <a:fillRect/>
                    </a:stretch>
                  </pic:blipFill>
                  <pic:spPr>
                    <a:xfrm>
                      <a:off x="0" y="0"/>
                      <a:ext cx="7663061" cy="5350823"/>
                    </a:xfrm>
                    <a:prstGeom prst="rect">
                      <a:avLst/>
                    </a:prstGeom>
                  </pic:spPr>
                </pic:pic>
              </a:graphicData>
            </a:graphic>
          </wp:inline>
        </w:drawing>
      </w:r>
    </w:p>
    <w:p>
      <w:pPr>
        <w:pStyle w:val="33"/>
      </w:pPr>
      <w:r>
        <w:rPr>
          <w:rFonts w:hint="eastAsia"/>
        </w:rPr>
        <w:t>图3-1</w:t>
      </w:r>
      <w:r>
        <w:t xml:space="preserve"> </w:t>
      </w:r>
      <w:r>
        <w:rPr>
          <w:rFonts w:hint="eastAsia"/>
        </w:rPr>
        <w:t>地理位置图</w:t>
      </w:r>
    </w:p>
    <w:p>
      <w:pPr>
        <w:pStyle w:val="31"/>
      </w:pPr>
      <w:r>
        <w:drawing>
          <wp:inline distT="0" distB="0" distL="0" distR="0">
            <wp:extent cx="6856730" cy="5324475"/>
            <wp:effectExtent l="0" t="0" r="1270" b="9525"/>
            <wp:docPr id="5554658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465800" name="图片 1"/>
                    <pic:cNvPicPr>
                      <a:picLocks noChangeAspect="1"/>
                    </pic:cNvPicPr>
                  </pic:nvPicPr>
                  <pic:blipFill>
                    <a:blip r:embed="rId13"/>
                    <a:stretch>
                      <a:fillRect/>
                    </a:stretch>
                  </pic:blipFill>
                  <pic:spPr>
                    <a:xfrm>
                      <a:off x="0" y="0"/>
                      <a:ext cx="6864816" cy="5331168"/>
                    </a:xfrm>
                    <a:prstGeom prst="rect">
                      <a:avLst/>
                    </a:prstGeom>
                  </pic:spPr>
                </pic:pic>
              </a:graphicData>
            </a:graphic>
          </wp:inline>
        </w:drawing>
      </w:r>
    </w:p>
    <w:p>
      <w:pPr>
        <w:pStyle w:val="35"/>
      </w:pPr>
      <w:r>
        <w:rPr>
          <w:rFonts w:hint="eastAsia"/>
        </w:rPr>
        <w:t>图3-2</w:t>
      </w:r>
      <w:r>
        <w:t xml:space="preserve"> </w:t>
      </w:r>
      <w:r>
        <w:rPr>
          <w:rFonts w:hint="eastAsia"/>
        </w:rPr>
        <w:t>项目四至图</w:t>
      </w:r>
    </w:p>
    <w:p>
      <w:pPr>
        <w:pStyle w:val="31"/>
        <w:sectPr>
          <w:pgSz w:w="16838" w:h="11906" w:orient="landscape"/>
          <w:pgMar w:top="1474" w:right="1418" w:bottom="1474" w:left="1418" w:header="851" w:footer="907" w:gutter="0"/>
          <w:cols w:space="425" w:num="1"/>
          <w:docGrid w:type="lines" w:linePitch="326" w:charSpace="0"/>
        </w:sectPr>
      </w:pPr>
    </w:p>
    <w:p>
      <w:pPr>
        <w:pStyle w:val="31"/>
      </w:pPr>
      <w:r>
        <mc:AlternateContent>
          <mc:Choice Requires="wps">
            <w:drawing>
              <wp:anchor distT="0" distB="0" distL="114300" distR="114300" simplePos="0" relativeHeight="251661312" behindDoc="0" locked="0" layoutInCell="1" allowOverlap="1">
                <wp:simplePos x="0" y="0"/>
                <wp:positionH relativeFrom="column">
                  <wp:posOffset>4070985</wp:posOffset>
                </wp:positionH>
                <wp:positionV relativeFrom="paragraph">
                  <wp:posOffset>5127625</wp:posOffset>
                </wp:positionV>
                <wp:extent cx="850900" cy="365760"/>
                <wp:effectExtent l="0" t="0" r="0" b="0"/>
                <wp:wrapNone/>
                <wp:docPr id="1380414471" name="文本框 1"/>
                <wp:cNvGraphicFramePr/>
                <a:graphic xmlns:a="http://schemas.openxmlformats.org/drawingml/2006/main">
                  <a:graphicData uri="http://schemas.microsoft.com/office/word/2010/wordprocessingShape">
                    <wps:wsp>
                      <wps:cNvSpPr txBox="1"/>
                      <wps:spPr>
                        <a:xfrm>
                          <a:off x="0" y="0"/>
                          <a:ext cx="850789" cy="365760"/>
                        </a:xfrm>
                        <a:prstGeom prst="rect">
                          <a:avLst/>
                        </a:prstGeom>
                        <a:noFill/>
                        <a:ln w="6350">
                          <a:noFill/>
                        </a:ln>
                      </wps:spPr>
                      <wps:txbx>
                        <w:txbxContent>
                          <w:p>
                            <w:pPr>
                              <w:spacing w:line="240" w:lineRule="auto"/>
                              <w:ind w:firstLine="0" w:firstLineChars="0"/>
                              <w:rPr>
                                <w:b/>
                                <w:bCs/>
                                <w:color w:val="FFFF00"/>
                                <w:sz w:val="21"/>
                                <w:szCs w:val="21"/>
                              </w:rPr>
                            </w:pPr>
                            <w:r>
                              <w:rPr>
                                <w:rFonts w:hint="eastAsia"/>
                                <w:b/>
                                <w:bCs/>
                                <w:color w:val="FFFF00"/>
                                <w:sz w:val="21"/>
                                <w:szCs w:val="21"/>
                              </w:rPr>
                              <w:t>（未建设）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 o:spid="_x0000_s1026" o:spt="202" type="#_x0000_t202" style="position:absolute;left:0pt;margin-left:320.55pt;margin-top:403.75pt;height:28.8pt;width:67pt;z-index:251661312;mso-width-relative:page;mso-height-relative:page;" filled="f" stroked="f" coordsize="21600,21600" o:gfxdata="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C1EXbAAAACwEAAA8AAAAAAAAAAQAgAAAAIgAAAGRycy9kb3ducmV2LnhtbFBLAQIUABQAAAAI&#10;AIdO4kCQqTfPIwIAACAEAAAOAAAAAAAAAAEAIAAAACoBAABkcnMvZTJvRG9jLnhtbFBLBQYAAAAA&#10;BgAGAFkBAAC/BQAAAAA=&#10;">
                <v:fill on="f" focussize="0,0"/>
                <v:stroke on="f" weight="0.5pt"/>
                <v:imagedata o:title=""/>
                <o:lock v:ext="edit" aspectratio="f"/>
                <v:textbox>
                  <w:txbxContent>
                    <w:p>
                      <w:pPr>
                        <w:spacing w:line="240" w:lineRule="auto"/>
                        <w:ind w:firstLine="0" w:firstLineChars="0"/>
                        <w:rPr>
                          <w:b/>
                          <w:bCs/>
                          <w:color w:val="FFFF00"/>
                          <w:sz w:val="21"/>
                          <w:szCs w:val="21"/>
                        </w:rPr>
                      </w:pPr>
                      <w:r>
                        <w:rPr>
                          <w:rFonts w:hint="eastAsia"/>
                          <w:b/>
                          <w:bCs/>
                          <w:color w:val="FFFF00"/>
                          <w:sz w:val="21"/>
                          <w:szCs w:val="21"/>
                        </w:rPr>
                        <w:t>（未建设）</w:t>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208915</wp:posOffset>
                </wp:positionH>
                <wp:positionV relativeFrom="paragraph">
                  <wp:posOffset>3559810</wp:posOffset>
                </wp:positionV>
                <wp:extent cx="850900" cy="365760"/>
                <wp:effectExtent l="0" t="0" r="0" b="3810"/>
                <wp:wrapNone/>
                <wp:docPr id="2084697360" name="文本框 1"/>
                <wp:cNvGraphicFramePr/>
                <a:graphic xmlns:a="http://schemas.openxmlformats.org/drawingml/2006/main">
                  <a:graphicData uri="http://schemas.microsoft.com/office/word/2010/wordprocessingShape">
                    <wps:wsp>
                      <wps:cNvSpPr txBox="1"/>
                      <wps:spPr>
                        <a:xfrm>
                          <a:off x="0" y="0"/>
                          <a:ext cx="850789" cy="365760"/>
                        </a:xfrm>
                        <a:prstGeom prst="rect">
                          <a:avLst/>
                        </a:prstGeom>
                        <a:noFill/>
                        <a:ln w="6350">
                          <a:noFill/>
                        </a:ln>
                      </wps:spPr>
                      <wps:txbx>
                        <w:txbxContent>
                          <w:p>
                            <w:pPr>
                              <w:spacing w:line="240" w:lineRule="auto"/>
                              <w:ind w:firstLine="0" w:firstLineChars="0"/>
                              <w:rPr>
                                <w:b/>
                                <w:bCs/>
                                <w:color w:val="FFFF00"/>
                                <w:sz w:val="21"/>
                                <w:szCs w:val="21"/>
                              </w:rPr>
                            </w:pPr>
                            <w:r>
                              <w:rPr>
                                <w:rFonts w:hint="eastAsia"/>
                                <w:b/>
                                <w:bCs/>
                                <w:color w:val="FFFF00"/>
                                <w:sz w:val="21"/>
                                <w:szCs w:val="21"/>
                              </w:rPr>
                              <w:t>（未建设）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 o:spid="_x0000_s1026" o:spt="202" type="#_x0000_t202" style="position:absolute;left:0pt;margin-left:16.45pt;margin-top:280.3pt;height:28.8pt;width:67pt;z-index:251660288;mso-width-relative:page;mso-height-relative:page;" filled="f" stroked="f" coordsize="21600,21600" o:gfxdata="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vWqJh9oAAAAKAQAADwAAAAAAAAABACAAAAAiAAAAZHJzL2Rvd25yZXYueG1sUEsBAhQAFAAA&#10;AAgAh07iQGkGc3ImAgAAIAQAAA4AAAAAAAAAAQAgAAAAKQEAAGRycy9lMm9Eb2MueG1sUEsFBgAA&#10;AAAGAAYAWQEAAMEFAAAAAA==&#10;">
                <v:fill on="f" focussize="0,0"/>
                <v:stroke on="f" weight="0.5pt"/>
                <v:imagedata o:title=""/>
                <o:lock v:ext="edit" aspectratio="f"/>
                <v:textbox>
                  <w:txbxContent>
                    <w:p>
                      <w:pPr>
                        <w:spacing w:line="240" w:lineRule="auto"/>
                        <w:ind w:firstLine="0" w:firstLineChars="0"/>
                        <w:rPr>
                          <w:b/>
                          <w:bCs/>
                          <w:color w:val="FFFF00"/>
                          <w:sz w:val="21"/>
                          <w:szCs w:val="21"/>
                        </w:rPr>
                      </w:pPr>
                      <w:r>
                        <w:rPr>
                          <w:rFonts w:hint="eastAsia"/>
                          <w:b/>
                          <w:bCs/>
                          <w:color w:val="FFFF00"/>
                          <w:sz w:val="21"/>
                          <w:szCs w:val="21"/>
                        </w:rPr>
                        <w:t>（未建设）</w:t>
                      </w:r>
                    </w:p>
                  </w:txbxContent>
                </v:textbox>
              </v:shape>
            </w:pict>
          </mc:Fallback>
        </mc:AlternateContent>
      </w:r>
      <w:r>
        <w:drawing>
          <wp:inline distT="0" distB="0" distL="0" distR="0">
            <wp:extent cx="5688330" cy="7754620"/>
            <wp:effectExtent l="0" t="0" r="7620" b="0"/>
            <wp:docPr id="538080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08061" name="图片 1"/>
                    <pic:cNvPicPr>
                      <a:picLocks noChangeAspect="1"/>
                    </pic:cNvPicPr>
                  </pic:nvPicPr>
                  <pic:blipFill>
                    <a:blip r:embed="rId14"/>
                    <a:stretch>
                      <a:fillRect/>
                    </a:stretch>
                  </pic:blipFill>
                  <pic:spPr>
                    <a:xfrm>
                      <a:off x="0" y="0"/>
                      <a:ext cx="5688330" cy="7754620"/>
                    </a:xfrm>
                    <a:prstGeom prst="rect">
                      <a:avLst/>
                    </a:prstGeom>
                  </pic:spPr>
                </pic:pic>
              </a:graphicData>
            </a:graphic>
          </wp:inline>
        </w:drawing>
      </w:r>
    </w:p>
    <w:p>
      <w:pPr>
        <w:pStyle w:val="33"/>
      </w:pPr>
      <w:r>
        <w:rPr>
          <w:rFonts w:hint="eastAsia"/>
        </w:rPr>
        <w:t>图3-</w:t>
      </w:r>
      <w:r>
        <w:t xml:space="preserve">3 </w:t>
      </w:r>
      <w:r>
        <w:rPr>
          <w:rFonts w:hint="eastAsia"/>
        </w:rPr>
        <w:t>项目平面布置图</w:t>
      </w:r>
    </w:p>
    <w:p>
      <w:pPr>
        <w:pStyle w:val="35"/>
      </w:pPr>
    </w:p>
    <w:p>
      <w:pPr>
        <w:ind w:firstLine="480"/>
        <w:sectPr>
          <w:pgSz w:w="11906" w:h="16838"/>
          <w:pgMar w:top="1418" w:right="1474" w:bottom="1418" w:left="1474" w:header="851" w:footer="907" w:gutter="0"/>
          <w:cols w:space="425" w:num="1"/>
          <w:docGrid w:type="lines" w:linePitch="326" w:charSpace="0"/>
        </w:sectPr>
      </w:pPr>
    </w:p>
    <w:p>
      <w:pPr>
        <w:ind w:firstLine="480"/>
        <w:jc w:val="center"/>
      </w:pPr>
      <w:r>
        <w:drawing>
          <wp:anchor distT="0" distB="0" distL="114300" distR="114300" simplePos="0" relativeHeight="251659264" behindDoc="0" locked="0" layoutInCell="1" allowOverlap="1">
            <wp:simplePos x="0" y="0"/>
            <wp:positionH relativeFrom="column">
              <wp:posOffset>7676515</wp:posOffset>
            </wp:positionH>
            <wp:positionV relativeFrom="paragraph">
              <wp:posOffset>105410</wp:posOffset>
            </wp:positionV>
            <wp:extent cx="400050" cy="706755"/>
            <wp:effectExtent l="0" t="0" r="0" b="0"/>
            <wp:wrapNone/>
            <wp:docPr id="1615662963" name="图片 161566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662963" name="图片 161566296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400050" cy="706755"/>
                    </a:xfrm>
                    <a:prstGeom prst="rect">
                      <a:avLst/>
                    </a:prstGeom>
                  </pic:spPr>
                </pic:pic>
              </a:graphicData>
            </a:graphic>
          </wp:anchor>
        </w:drawing>
      </w:r>
      <w:r>
        <w:drawing>
          <wp:inline distT="0" distB="0" distL="0" distR="0">
            <wp:extent cx="7084695" cy="5242560"/>
            <wp:effectExtent l="0" t="0" r="1905" b="0"/>
            <wp:docPr id="16259005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900576" name="图片 1"/>
                    <pic:cNvPicPr>
                      <a:picLocks noChangeAspect="1"/>
                    </pic:cNvPicPr>
                  </pic:nvPicPr>
                  <pic:blipFill>
                    <a:blip r:embed="rId16"/>
                    <a:stretch>
                      <a:fillRect/>
                    </a:stretch>
                  </pic:blipFill>
                  <pic:spPr>
                    <a:xfrm>
                      <a:off x="0" y="0"/>
                      <a:ext cx="7102388" cy="5255505"/>
                    </a:xfrm>
                    <a:prstGeom prst="rect">
                      <a:avLst/>
                    </a:prstGeom>
                  </pic:spPr>
                </pic:pic>
              </a:graphicData>
            </a:graphic>
          </wp:inline>
        </w:drawing>
      </w:r>
    </w:p>
    <w:p>
      <w:pPr>
        <w:pStyle w:val="33"/>
      </w:pPr>
      <w:r>
        <w:rPr>
          <w:rFonts w:hint="eastAsia"/>
        </w:rPr>
        <w:t>图3-</w:t>
      </w:r>
      <w:r>
        <w:t xml:space="preserve">3 </w:t>
      </w:r>
      <w:r>
        <w:rPr>
          <w:rFonts w:hint="eastAsia"/>
        </w:rPr>
        <w:t>项目500米内敏感目标图</w:t>
      </w:r>
    </w:p>
    <w:p>
      <w:pPr>
        <w:ind w:firstLine="480"/>
        <w:sectPr>
          <w:pgSz w:w="16838" w:h="11906" w:orient="landscape"/>
          <w:pgMar w:top="1474" w:right="1418" w:bottom="1474" w:left="1418" w:header="851" w:footer="907" w:gutter="0"/>
          <w:cols w:space="425" w:num="1"/>
          <w:docGrid w:type="lines" w:linePitch="326" w:charSpace="0"/>
        </w:sectPr>
      </w:pPr>
    </w:p>
    <w:p>
      <w:pPr>
        <w:pStyle w:val="3"/>
      </w:pPr>
      <w:bookmarkStart w:id="14" w:name="_Toc16032"/>
      <w:r>
        <w:rPr>
          <w:rFonts w:hint="eastAsia"/>
        </w:rPr>
        <w:t>建设内容</w:t>
      </w:r>
      <w:bookmarkEnd w:id="14"/>
    </w:p>
    <w:p>
      <w:pPr>
        <w:ind w:firstLine="480"/>
      </w:pPr>
      <w:r>
        <w:rPr>
          <w:rFonts w:hint="eastAsia"/>
        </w:rPr>
        <w:t>本项目工程建设内容组成详见</w:t>
      </w:r>
      <w:r>
        <w:fldChar w:fldCharType="begin"/>
      </w:r>
      <w:r>
        <w:instrText xml:space="preserve"> </w:instrText>
      </w:r>
      <w:r>
        <w:rPr>
          <w:rFonts w:hint="eastAsia"/>
        </w:rPr>
        <w:instrText xml:space="preserve">REF _Ref102980699 \h</w:instrText>
      </w:r>
      <w:r>
        <w:instrText xml:space="preserve"> </w:instrText>
      </w:r>
      <w:r>
        <w:fldChar w:fldCharType="separate"/>
      </w:r>
      <w:r>
        <w:rPr>
          <w:rFonts w:hint="eastAsia"/>
        </w:rPr>
        <w:t xml:space="preserve">表 </w:t>
      </w:r>
      <w:r>
        <w:t>3.2</w:t>
      </w:r>
      <w:r>
        <w:noBreakHyphen/>
      </w:r>
      <w:r>
        <w:t>1</w:t>
      </w:r>
      <w:r>
        <w:fldChar w:fldCharType="end"/>
      </w:r>
      <w:r>
        <w:rPr>
          <w:rFonts w:hint="eastAsia"/>
        </w:rPr>
        <w:t>，主要设备见</w:t>
      </w:r>
      <w:r>
        <w:fldChar w:fldCharType="begin"/>
      </w:r>
      <w:r>
        <w:instrText xml:space="preserve"> </w:instrText>
      </w:r>
      <w:r>
        <w:rPr>
          <w:rFonts w:hint="eastAsia"/>
        </w:rPr>
        <w:instrText xml:space="preserve">REF _Ref102980718 \h</w:instrText>
      </w:r>
      <w:r>
        <w:instrText xml:space="preserve"> </w:instrText>
      </w:r>
      <w:r>
        <w:fldChar w:fldCharType="separate"/>
      </w:r>
      <w:r>
        <w:rPr>
          <w:rFonts w:hint="eastAsia"/>
        </w:rPr>
        <w:t xml:space="preserve">表 </w:t>
      </w:r>
      <w:r>
        <w:t>3.2</w:t>
      </w:r>
      <w:r>
        <w:noBreakHyphen/>
      </w:r>
      <w:r>
        <w:t>2</w:t>
      </w:r>
      <w:r>
        <w:fldChar w:fldCharType="end"/>
      </w:r>
      <w:r>
        <w:rPr>
          <w:rFonts w:hint="eastAsia"/>
        </w:rPr>
        <w:t>。</w:t>
      </w:r>
    </w:p>
    <w:p>
      <w:pPr>
        <w:pStyle w:val="35"/>
      </w:pPr>
      <w:bookmarkStart w:id="15" w:name="_Ref102980699"/>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bookmarkEnd w:id="15"/>
      <w:r>
        <w:t xml:space="preserve"> </w:t>
      </w:r>
      <w:r>
        <w:rPr>
          <w:rFonts w:hint="eastAsia"/>
        </w:rPr>
        <w:t>本项目主要建设内容组成一览表</w:t>
      </w:r>
    </w:p>
    <w:tbl>
      <w:tblPr>
        <w:tblStyle w:val="2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3"/>
        <w:gridCol w:w="1108"/>
        <w:gridCol w:w="3044"/>
        <w:gridCol w:w="2621"/>
        <w:gridCol w:w="1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0" w:hRule="atLeast"/>
        </w:trPr>
        <w:tc>
          <w:tcPr>
            <w:tcW w:w="1611" w:type="dxa"/>
            <w:gridSpan w:val="2"/>
            <w:vAlign w:val="center"/>
          </w:tcPr>
          <w:p>
            <w:pPr>
              <w:pStyle w:val="16"/>
              <w:adjustRightInd w:val="0"/>
              <w:snapToGrid w:val="0"/>
              <w:spacing w:after="0" w:line="240" w:lineRule="auto"/>
              <w:jc w:val="center"/>
              <w:rPr>
                <w:b/>
                <w:szCs w:val="21"/>
              </w:rPr>
            </w:pPr>
            <w:r>
              <w:rPr>
                <w:b/>
                <w:szCs w:val="21"/>
              </w:rPr>
              <w:t>工程类别</w:t>
            </w:r>
          </w:p>
        </w:tc>
        <w:tc>
          <w:tcPr>
            <w:tcW w:w="3044" w:type="dxa"/>
            <w:vAlign w:val="center"/>
          </w:tcPr>
          <w:p>
            <w:pPr>
              <w:pStyle w:val="16"/>
              <w:adjustRightInd w:val="0"/>
              <w:snapToGrid w:val="0"/>
              <w:spacing w:after="0" w:line="240" w:lineRule="auto"/>
              <w:jc w:val="center"/>
              <w:rPr>
                <w:b/>
                <w:szCs w:val="21"/>
              </w:rPr>
            </w:pPr>
            <w:r>
              <w:rPr>
                <w:b/>
                <w:szCs w:val="21"/>
              </w:rPr>
              <w:t>环评报告及批复要求</w:t>
            </w:r>
          </w:p>
        </w:tc>
        <w:tc>
          <w:tcPr>
            <w:tcW w:w="2621" w:type="dxa"/>
            <w:vAlign w:val="center"/>
          </w:tcPr>
          <w:p>
            <w:pPr>
              <w:pStyle w:val="16"/>
              <w:adjustRightInd w:val="0"/>
              <w:snapToGrid w:val="0"/>
              <w:spacing w:after="0" w:line="240" w:lineRule="auto"/>
              <w:jc w:val="center"/>
              <w:rPr>
                <w:bCs/>
                <w:szCs w:val="21"/>
              </w:rPr>
            </w:pPr>
            <w:r>
              <w:rPr>
                <w:b/>
                <w:szCs w:val="21"/>
              </w:rPr>
              <w:t>实际建设内容</w:t>
            </w:r>
          </w:p>
        </w:tc>
        <w:tc>
          <w:tcPr>
            <w:tcW w:w="1246" w:type="dxa"/>
            <w:vAlign w:val="center"/>
          </w:tcPr>
          <w:p>
            <w:pPr>
              <w:pStyle w:val="16"/>
              <w:adjustRightInd w:val="0"/>
              <w:snapToGrid w:val="0"/>
              <w:spacing w:after="0" w:line="240" w:lineRule="auto"/>
              <w:jc w:val="center"/>
              <w:rPr>
                <w:bCs/>
                <w:szCs w:val="21"/>
              </w:rPr>
            </w:pPr>
            <w:r>
              <w:rPr>
                <w:b/>
                <w:szCs w:val="21"/>
              </w:rPr>
              <w:t>变化情况/备注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5" w:hRule="atLeast"/>
        </w:trPr>
        <w:tc>
          <w:tcPr>
            <w:tcW w:w="503" w:type="dxa"/>
            <w:vMerge w:val="restart"/>
            <w:vAlign w:val="center"/>
          </w:tcPr>
          <w:p>
            <w:pPr>
              <w:pStyle w:val="16"/>
              <w:adjustRightInd w:val="0"/>
              <w:snapToGrid w:val="0"/>
              <w:spacing w:after="0" w:line="240" w:lineRule="auto"/>
              <w:jc w:val="center"/>
              <w:rPr>
                <w:szCs w:val="21"/>
              </w:rPr>
            </w:pPr>
            <w:r>
              <w:rPr>
                <w:szCs w:val="21"/>
              </w:rPr>
              <w:t>主体工程</w:t>
            </w:r>
          </w:p>
        </w:tc>
        <w:tc>
          <w:tcPr>
            <w:tcW w:w="1108" w:type="dxa"/>
            <w:vAlign w:val="center"/>
          </w:tcPr>
          <w:p>
            <w:pPr>
              <w:pStyle w:val="16"/>
              <w:adjustRightInd w:val="0"/>
              <w:snapToGrid w:val="0"/>
              <w:spacing w:after="0" w:line="240" w:lineRule="auto"/>
              <w:jc w:val="center"/>
              <w:rPr>
                <w:szCs w:val="21"/>
              </w:rPr>
            </w:pPr>
            <w:r>
              <w:rPr>
                <w:szCs w:val="21"/>
              </w:rPr>
              <w:t>加油棚</w:t>
            </w:r>
          </w:p>
        </w:tc>
        <w:tc>
          <w:tcPr>
            <w:tcW w:w="3044" w:type="dxa"/>
            <w:vAlign w:val="center"/>
          </w:tcPr>
          <w:p>
            <w:pPr>
              <w:pStyle w:val="16"/>
              <w:adjustRightInd w:val="0"/>
              <w:snapToGrid w:val="0"/>
              <w:spacing w:after="0" w:line="240" w:lineRule="auto"/>
              <w:jc w:val="center"/>
              <w:rPr>
                <w:szCs w:val="21"/>
              </w:rPr>
            </w:pPr>
            <w:r>
              <w:rPr>
                <w:szCs w:val="21"/>
              </w:rPr>
              <w:t>1层高度9.60m，占地面积756.00</w:t>
            </w:r>
            <w:r>
              <w:rPr>
                <w:rFonts w:hint="eastAsia"/>
                <w:szCs w:val="21"/>
              </w:rPr>
              <w:t>m</w:t>
            </w:r>
            <w:r>
              <w:rPr>
                <w:rFonts w:hint="eastAsia"/>
                <w:szCs w:val="21"/>
                <w:vertAlign w:val="superscript"/>
              </w:rPr>
              <w:t>2</w:t>
            </w:r>
            <w:r>
              <w:rPr>
                <w:szCs w:val="21"/>
              </w:rPr>
              <w:t>，建筑面积406</w:t>
            </w:r>
            <w:r>
              <w:rPr>
                <w:rFonts w:hint="eastAsia"/>
                <w:szCs w:val="21"/>
              </w:rPr>
              <w:t>m</w:t>
            </w:r>
            <w:r>
              <w:rPr>
                <w:rFonts w:hint="eastAsia"/>
                <w:szCs w:val="21"/>
                <w:vertAlign w:val="superscript"/>
              </w:rPr>
              <w:t>2</w:t>
            </w:r>
            <w:r>
              <w:rPr>
                <w:szCs w:val="21"/>
              </w:rPr>
              <w:t>，建筑物耐火等级为二级。设有潜油泵式带油气回收功能6枪3品加油机6台。</w:t>
            </w:r>
          </w:p>
        </w:tc>
        <w:tc>
          <w:tcPr>
            <w:tcW w:w="2621" w:type="dxa"/>
            <w:vAlign w:val="center"/>
          </w:tcPr>
          <w:p>
            <w:pPr>
              <w:pStyle w:val="16"/>
              <w:adjustRightInd w:val="0"/>
              <w:snapToGrid w:val="0"/>
              <w:spacing w:after="0" w:line="240" w:lineRule="auto"/>
              <w:jc w:val="center"/>
              <w:rPr>
                <w:szCs w:val="21"/>
              </w:rPr>
            </w:pPr>
            <w:r>
              <w:rPr>
                <w:szCs w:val="21"/>
              </w:rPr>
              <w:t>1层高度9.60m，占地面积756.00</w:t>
            </w:r>
            <w:r>
              <w:rPr>
                <w:rFonts w:hint="eastAsia"/>
                <w:szCs w:val="21"/>
              </w:rPr>
              <w:t>m</w:t>
            </w:r>
            <w:r>
              <w:rPr>
                <w:rFonts w:hint="eastAsia"/>
                <w:szCs w:val="21"/>
                <w:vertAlign w:val="superscript"/>
              </w:rPr>
              <w:t>2</w:t>
            </w:r>
            <w:r>
              <w:rPr>
                <w:szCs w:val="21"/>
              </w:rPr>
              <w:t>，建筑面积406</w:t>
            </w:r>
            <w:r>
              <w:rPr>
                <w:rFonts w:hint="eastAsia"/>
                <w:szCs w:val="21"/>
              </w:rPr>
              <w:t>m</w:t>
            </w:r>
            <w:r>
              <w:rPr>
                <w:rFonts w:hint="eastAsia"/>
                <w:szCs w:val="21"/>
                <w:vertAlign w:val="superscript"/>
              </w:rPr>
              <w:t>2</w:t>
            </w:r>
            <w:r>
              <w:rPr>
                <w:szCs w:val="21"/>
              </w:rPr>
              <w:t>，建筑物耐火等级为二级。设有潜油泵式带油气回收功能6枪3品加油机6台。</w:t>
            </w:r>
          </w:p>
        </w:tc>
        <w:tc>
          <w:tcPr>
            <w:tcW w:w="1246" w:type="dxa"/>
            <w:vAlign w:val="center"/>
          </w:tcPr>
          <w:p>
            <w:pPr>
              <w:pStyle w:val="16"/>
              <w:adjustRightInd w:val="0"/>
              <w:snapToGrid w:val="0"/>
              <w:spacing w:after="0" w:line="240" w:lineRule="auto"/>
              <w:jc w:val="center"/>
              <w:rPr>
                <w:szCs w:val="21"/>
              </w:rPr>
            </w:pPr>
            <w:r>
              <w:rPr>
                <w:rFonts w:hint="eastAsia"/>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5" w:hRule="atLeast"/>
        </w:trPr>
        <w:tc>
          <w:tcPr>
            <w:tcW w:w="503" w:type="dxa"/>
            <w:vMerge w:val="continue"/>
            <w:vAlign w:val="center"/>
          </w:tcPr>
          <w:p>
            <w:pPr>
              <w:pStyle w:val="16"/>
              <w:adjustRightInd w:val="0"/>
              <w:snapToGrid w:val="0"/>
              <w:spacing w:after="0" w:line="240" w:lineRule="auto"/>
              <w:jc w:val="center"/>
              <w:rPr>
                <w:szCs w:val="21"/>
              </w:rPr>
            </w:pPr>
          </w:p>
        </w:tc>
        <w:tc>
          <w:tcPr>
            <w:tcW w:w="1108" w:type="dxa"/>
            <w:vAlign w:val="center"/>
          </w:tcPr>
          <w:p>
            <w:pPr>
              <w:pStyle w:val="16"/>
              <w:adjustRightInd w:val="0"/>
              <w:snapToGrid w:val="0"/>
              <w:spacing w:after="0" w:line="240" w:lineRule="auto"/>
              <w:jc w:val="center"/>
              <w:rPr>
                <w:szCs w:val="21"/>
              </w:rPr>
            </w:pPr>
            <w:r>
              <w:rPr>
                <w:szCs w:val="21"/>
              </w:rPr>
              <w:t>储罐区</w:t>
            </w:r>
          </w:p>
        </w:tc>
        <w:tc>
          <w:tcPr>
            <w:tcW w:w="3044" w:type="dxa"/>
            <w:vAlign w:val="center"/>
          </w:tcPr>
          <w:p>
            <w:pPr>
              <w:pStyle w:val="16"/>
              <w:adjustRightInd w:val="0"/>
              <w:snapToGrid w:val="0"/>
              <w:spacing w:after="0" w:line="240" w:lineRule="auto"/>
              <w:jc w:val="center"/>
              <w:rPr>
                <w:szCs w:val="21"/>
              </w:rPr>
            </w:pPr>
            <w:r>
              <w:rPr>
                <w:szCs w:val="21"/>
              </w:rPr>
              <w:t>共设有储油罐4个，1个50m³0#柴油储罐，1个50 m³95#汽油储罐、1个40 m³92#汽油储油罐、1个30 m³98#汽油储油罐，均为埋地油罐。</w:t>
            </w:r>
          </w:p>
        </w:tc>
        <w:tc>
          <w:tcPr>
            <w:tcW w:w="2621" w:type="dxa"/>
            <w:vAlign w:val="center"/>
          </w:tcPr>
          <w:p>
            <w:pPr>
              <w:pStyle w:val="16"/>
              <w:adjustRightInd w:val="0"/>
              <w:snapToGrid w:val="0"/>
              <w:spacing w:after="0" w:line="240" w:lineRule="auto"/>
              <w:jc w:val="center"/>
              <w:rPr>
                <w:szCs w:val="21"/>
              </w:rPr>
            </w:pPr>
            <w:r>
              <w:rPr>
                <w:szCs w:val="21"/>
              </w:rPr>
              <w:t>共设有储油罐4个，1个50m³0#柴油储罐，1个50m³95#汽油储罐、1个40m³92#汽油储油罐、1个3</w:t>
            </w:r>
            <w:r>
              <w:rPr>
                <w:rFonts w:hint="eastAsia"/>
                <w:szCs w:val="21"/>
              </w:rPr>
              <w:t>0</w:t>
            </w:r>
            <w:r>
              <w:rPr>
                <w:szCs w:val="21"/>
              </w:rPr>
              <w:t>m³98#汽油储油罐，均为埋地油罐。</w:t>
            </w:r>
          </w:p>
        </w:tc>
        <w:tc>
          <w:tcPr>
            <w:tcW w:w="1246" w:type="dxa"/>
            <w:vAlign w:val="center"/>
          </w:tcPr>
          <w:p>
            <w:pPr>
              <w:pStyle w:val="16"/>
              <w:adjustRightInd w:val="0"/>
              <w:snapToGrid w:val="0"/>
              <w:spacing w:after="0" w:line="240" w:lineRule="auto"/>
              <w:jc w:val="center"/>
              <w:rPr>
                <w:szCs w:val="21"/>
              </w:rPr>
            </w:pPr>
            <w:r>
              <w:rPr>
                <w:rFonts w:hint="eastAsia"/>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5" w:hRule="atLeast"/>
        </w:trPr>
        <w:tc>
          <w:tcPr>
            <w:tcW w:w="503" w:type="dxa"/>
            <w:vMerge w:val="continue"/>
            <w:vAlign w:val="center"/>
          </w:tcPr>
          <w:p>
            <w:pPr>
              <w:pStyle w:val="16"/>
              <w:adjustRightInd w:val="0"/>
              <w:snapToGrid w:val="0"/>
              <w:spacing w:after="0" w:line="240" w:lineRule="auto"/>
              <w:jc w:val="center"/>
              <w:rPr>
                <w:szCs w:val="21"/>
              </w:rPr>
            </w:pPr>
          </w:p>
        </w:tc>
        <w:tc>
          <w:tcPr>
            <w:tcW w:w="1108" w:type="dxa"/>
            <w:vAlign w:val="center"/>
          </w:tcPr>
          <w:p>
            <w:pPr>
              <w:pStyle w:val="16"/>
              <w:adjustRightInd w:val="0"/>
              <w:snapToGrid w:val="0"/>
              <w:spacing w:after="0" w:line="240" w:lineRule="auto"/>
              <w:jc w:val="center"/>
              <w:rPr>
                <w:szCs w:val="21"/>
              </w:rPr>
            </w:pPr>
            <w:r>
              <w:rPr>
                <w:szCs w:val="21"/>
              </w:rPr>
              <w:t>站房</w:t>
            </w:r>
          </w:p>
        </w:tc>
        <w:tc>
          <w:tcPr>
            <w:tcW w:w="3044" w:type="dxa"/>
            <w:vAlign w:val="center"/>
          </w:tcPr>
          <w:p>
            <w:pPr>
              <w:pStyle w:val="16"/>
              <w:adjustRightInd w:val="0"/>
              <w:snapToGrid w:val="0"/>
              <w:spacing w:after="0" w:line="240" w:lineRule="auto"/>
              <w:jc w:val="center"/>
              <w:rPr>
                <w:szCs w:val="21"/>
              </w:rPr>
            </w:pPr>
            <w:r>
              <w:rPr>
                <w:szCs w:val="21"/>
              </w:rPr>
              <w:t>1层高5.9m，占地面积320</w:t>
            </w:r>
            <w:r>
              <w:rPr>
                <w:rFonts w:hint="eastAsia"/>
                <w:szCs w:val="21"/>
              </w:rPr>
              <w:t>m</w:t>
            </w:r>
            <w:r>
              <w:rPr>
                <w:rFonts w:hint="eastAsia"/>
                <w:szCs w:val="21"/>
                <w:vertAlign w:val="superscript"/>
              </w:rPr>
              <w:t>2</w:t>
            </w:r>
            <w:r>
              <w:rPr>
                <w:szCs w:val="21"/>
              </w:rPr>
              <w:t>，建筑面积320</w:t>
            </w:r>
            <w:r>
              <w:rPr>
                <w:rFonts w:hint="eastAsia"/>
                <w:szCs w:val="21"/>
              </w:rPr>
              <w:t>m</w:t>
            </w:r>
            <w:r>
              <w:rPr>
                <w:rFonts w:hint="eastAsia"/>
                <w:szCs w:val="21"/>
                <w:vertAlign w:val="superscript"/>
              </w:rPr>
              <w:t>2</w:t>
            </w:r>
            <w:r>
              <w:rPr>
                <w:szCs w:val="21"/>
              </w:rPr>
              <w:t>，建筑物耐火等级为二级。设有便利店、厕所、配电室。</w:t>
            </w:r>
          </w:p>
        </w:tc>
        <w:tc>
          <w:tcPr>
            <w:tcW w:w="2621" w:type="dxa"/>
            <w:vAlign w:val="center"/>
          </w:tcPr>
          <w:p>
            <w:pPr>
              <w:pStyle w:val="16"/>
              <w:adjustRightInd w:val="0"/>
              <w:snapToGrid w:val="0"/>
              <w:spacing w:after="0" w:line="240" w:lineRule="auto"/>
              <w:jc w:val="center"/>
              <w:rPr>
                <w:szCs w:val="21"/>
              </w:rPr>
            </w:pPr>
            <w:r>
              <w:rPr>
                <w:szCs w:val="21"/>
              </w:rPr>
              <w:t>1层高5.9m，占地面积320</w:t>
            </w:r>
            <w:r>
              <w:rPr>
                <w:rFonts w:hint="eastAsia"/>
                <w:szCs w:val="21"/>
              </w:rPr>
              <w:t>m</w:t>
            </w:r>
            <w:r>
              <w:rPr>
                <w:rFonts w:hint="eastAsia"/>
                <w:szCs w:val="21"/>
                <w:vertAlign w:val="superscript"/>
              </w:rPr>
              <w:t>2</w:t>
            </w:r>
            <w:r>
              <w:rPr>
                <w:szCs w:val="21"/>
              </w:rPr>
              <w:t>，建筑面积320</w:t>
            </w:r>
            <w:r>
              <w:rPr>
                <w:rFonts w:hint="eastAsia"/>
                <w:szCs w:val="21"/>
              </w:rPr>
              <w:t>m</w:t>
            </w:r>
            <w:r>
              <w:rPr>
                <w:rFonts w:hint="eastAsia"/>
                <w:szCs w:val="21"/>
                <w:vertAlign w:val="superscript"/>
              </w:rPr>
              <w:t>2</w:t>
            </w:r>
            <w:r>
              <w:rPr>
                <w:szCs w:val="21"/>
              </w:rPr>
              <w:t>，建筑物耐火等级为二级。设有便利店、厕所、配电室。</w:t>
            </w:r>
          </w:p>
        </w:tc>
        <w:tc>
          <w:tcPr>
            <w:tcW w:w="1246" w:type="dxa"/>
            <w:vAlign w:val="center"/>
          </w:tcPr>
          <w:p>
            <w:pPr>
              <w:pStyle w:val="16"/>
              <w:adjustRightInd w:val="0"/>
              <w:snapToGrid w:val="0"/>
              <w:spacing w:after="0" w:line="240" w:lineRule="auto"/>
              <w:jc w:val="center"/>
              <w:rPr>
                <w:szCs w:val="21"/>
              </w:rPr>
            </w:pPr>
            <w:r>
              <w:rPr>
                <w:rFonts w:hint="eastAsia"/>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5" w:hRule="atLeast"/>
        </w:trPr>
        <w:tc>
          <w:tcPr>
            <w:tcW w:w="503" w:type="dxa"/>
            <w:vMerge w:val="continue"/>
            <w:vAlign w:val="center"/>
          </w:tcPr>
          <w:p>
            <w:pPr>
              <w:pStyle w:val="16"/>
              <w:adjustRightInd w:val="0"/>
              <w:snapToGrid w:val="0"/>
              <w:spacing w:after="0" w:line="240" w:lineRule="auto"/>
              <w:jc w:val="center"/>
              <w:rPr>
                <w:szCs w:val="21"/>
              </w:rPr>
            </w:pPr>
          </w:p>
        </w:tc>
        <w:tc>
          <w:tcPr>
            <w:tcW w:w="1108" w:type="dxa"/>
            <w:vAlign w:val="center"/>
          </w:tcPr>
          <w:p>
            <w:pPr>
              <w:pStyle w:val="16"/>
              <w:adjustRightInd w:val="0"/>
              <w:snapToGrid w:val="0"/>
              <w:spacing w:after="0" w:line="240" w:lineRule="auto"/>
              <w:jc w:val="center"/>
              <w:rPr>
                <w:szCs w:val="21"/>
              </w:rPr>
            </w:pPr>
            <w:r>
              <w:rPr>
                <w:szCs w:val="21"/>
              </w:rPr>
              <w:t>办公楼</w:t>
            </w:r>
          </w:p>
        </w:tc>
        <w:tc>
          <w:tcPr>
            <w:tcW w:w="3044" w:type="dxa"/>
            <w:vAlign w:val="center"/>
          </w:tcPr>
          <w:p>
            <w:pPr>
              <w:pStyle w:val="16"/>
              <w:adjustRightInd w:val="0"/>
              <w:snapToGrid w:val="0"/>
              <w:spacing w:after="0" w:line="240" w:lineRule="auto"/>
              <w:jc w:val="center"/>
              <w:rPr>
                <w:szCs w:val="21"/>
              </w:rPr>
            </w:pPr>
            <w:r>
              <w:rPr>
                <w:szCs w:val="21"/>
              </w:rPr>
              <w:t>6层高23.65m，占地面积165</w:t>
            </w:r>
            <w:r>
              <w:rPr>
                <w:rFonts w:hint="eastAsia"/>
                <w:szCs w:val="21"/>
              </w:rPr>
              <w:t>m</w:t>
            </w:r>
            <w:r>
              <w:rPr>
                <w:rFonts w:hint="eastAsia"/>
                <w:szCs w:val="21"/>
                <w:vertAlign w:val="superscript"/>
              </w:rPr>
              <w:t>2</w:t>
            </w:r>
            <w:r>
              <w:rPr>
                <w:szCs w:val="21"/>
              </w:rPr>
              <w:t>，建筑面积1034.39</w:t>
            </w:r>
            <w:r>
              <w:rPr>
                <w:rFonts w:hint="eastAsia"/>
                <w:szCs w:val="21"/>
              </w:rPr>
              <w:t>m</w:t>
            </w:r>
            <w:r>
              <w:rPr>
                <w:rFonts w:hint="eastAsia"/>
                <w:szCs w:val="21"/>
                <w:vertAlign w:val="superscript"/>
              </w:rPr>
              <w:t>2</w:t>
            </w:r>
            <w:r>
              <w:rPr>
                <w:szCs w:val="21"/>
              </w:rPr>
              <w:t>，建筑物耐火等级为二级。主要功能分区为办公室、休息室，一楼设有备用发电机。</w:t>
            </w:r>
          </w:p>
        </w:tc>
        <w:tc>
          <w:tcPr>
            <w:tcW w:w="2621" w:type="dxa"/>
            <w:vAlign w:val="center"/>
          </w:tcPr>
          <w:p>
            <w:pPr>
              <w:pStyle w:val="16"/>
              <w:adjustRightInd w:val="0"/>
              <w:snapToGrid w:val="0"/>
              <w:spacing w:after="0" w:line="240" w:lineRule="auto"/>
              <w:jc w:val="center"/>
              <w:rPr>
                <w:szCs w:val="21"/>
              </w:rPr>
            </w:pPr>
            <w:r>
              <w:rPr>
                <w:szCs w:val="21"/>
              </w:rPr>
              <w:t>6层高23.65m，占地面积165</w:t>
            </w:r>
            <w:r>
              <w:rPr>
                <w:rFonts w:hint="eastAsia"/>
                <w:szCs w:val="21"/>
              </w:rPr>
              <w:t>m</w:t>
            </w:r>
            <w:r>
              <w:rPr>
                <w:rFonts w:hint="eastAsia"/>
                <w:szCs w:val="21"/>
                <w:vertAlign w:val="superscript"/>
              </w:rPr>
              <w:t>2</w:t>
            </w:r>
            <w:r>
              <w:rPr>
                <w:szCs w:val="21"/>
              </w:rPr>
              <w:t>，建筑面积1034.39</w:t>
            </w:r>
            <w:r>
              <w:rPr>
                <w:rFonts w:hint="eastAsia"/>
                <w:szCs w:val="21"/>
              </w:rPr>
              <w:t>m</w:t>
            </w:r>
            <w:r>
              <w:rPr>
                <w:rFonts w:hint="eastAsia"/>
                <w:szCs w:val="21"/>
                <w:vertAlign w:val="superscript"/>
              </w:rPr>
              <w:t>2</w:t>
            </w:r>
            <w:r>
              <w:rPr>
                <w:szCs w:val="21"/>
              </w:rPr>
              <w:t>，建筑物耐火等级为二级。主要功能分区为办公室、休息室。</w:t>
            </w:r>
          </w:p>
        </w:tc>
        <w:tc>
          <w:tcPr>
            <w:tcW w:w="1246" w:type="dxa"/>
            <w:vAlign w:val="center"/>
          </w:tcPr>
          <w:p>
            <w:pPr>
              <w:pStyle w:val="16"/>
              <w:adjustRightInd w:val="0"/>
              <w:snapToGrid w:val="0"/>
              <w:spacing w:after="0" w:line="240" w:lineRule="auto"/>
              <w:jc w:val="center"/>
              <w:rPr>
                <w:szCs w:val="21"/>
              </w:rPr>
            </w:pPr>
            <w:r>
              <w:rPr>
                <w:rFonts w:hint="eastAsia"/>
                <w:szCs w:val="21"/>
              </w:rPr>
              <w:t>项目取消了设置备用发电机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0" w:hRule="atLeast"/>
        </w:trPr>
        <w:tc>
          <w:tcPr>
            <w:tcW w:w="503" w:type="dxa"/>
            <w:vMerge w:val="restart"/>
            <w:vAlign w:val="center"/>
          </w:tcPr>
          <w:p>
            <w:pPr>
              <w:pStyle w:val="16"/>
              <w:adjustRightInd w:val="0"/>
              <w:snapToGrid w:val="0"/>
              <w:spacing w:after="0" w:line="240" w:lineRule="auto"/>
              <w:ind w:left="-139" w:leftChars="-58" w:right="-89" w:rightChars="-37"/>
              <w:jc w:val="center"/>
              <w:rPr>
                <w:szCs w:val="21"/>
              </w:rPr>
            </w:pPr>
            <w:r>
              <w:rPr>
                <w:szCs w:val="21"/>
              </w:rPr>
              <w:t>辅助工程</w:t>
            </w:r>
          </w:p>
        </w:tc>
        <w:tc>
          <w:tcPr>
            <w:tcW w:w="1108" w:type="dxa"/>
            <w:vAlign w:val="center"/>
          </w:tcPr>
          <w:p>
            <w:pPr>
              <w:pStyle w:val="16"/>
              <w:adjustRightInd w:val="0"/>
              <w:snapToGrid w:val="0"/>
              <w:spacing w:after="0" w:line="240" w:lineRule="auto"/>
              <w:jc w:val="center"/>
              <w:rPr>
                <w:szCs w:val="21"/>
              </w:rPr>
            </w:pPr>
            <w:r>
              <w:rPr>
                <w:szCs w:val="21"/>
              </w:rPr>
              <w:t>充电车位</w:t>
            </w:r>
          </w:p>
        </w:tc>
        <w:tc>
          <w:tcPr>
            <w:tcW w:w="3044" w:type="dxa"/>
            <w:vAlign w:val="center"/>
          </w:tcPr>
          <w:p>
            <w:pPr>
              <w:pStyle w:val="16"/>
              <w:adjustRightInd w:val="0"/>
              <w:snapToGrid w:val="0"/>
              <w:spacing w:after="0" w:line="240" w:lineRule="auto"/>
              <w:jc w:val="center"/>
              <w:rPr>
                <w:szCs w:val="21"/>
              </w:rPr>
            </w:pPr>
            <w:r>
              <w:rPr>
                <w:szCs w:val="21"/>
              </w:rPr>
              <w:t>充电车位共23个</w:t>
            </w:r>
          </w:p>
        </w:tc>
        <w:tc>
          <w:tcPr>
            <w:tcW w:w="2621" w:type="dxa"/>
            <w:vAlign w:val="center"/>
          </w:tcPr>
          <w:p>
            <w:pPr>
              <w:pStyle w:val="16"/>
              <w:adjustRightInd w:val="0"/>
              <w:snapToGrid w:val="0"/>
              <w:spacing w:after="0" w:line="240" w:lineRule="auto"/>
              <w:jc w:val="center"/>
              <w:rPr>
                <w:color w:val="7030A0"/>
                <w:szCs w:val="21"/>
              </w:rPr>
            </w:pPr>
            <w:r>
              <w:rPr>
                <w:rFonts w:hint="eastAsia"/>
                <w:color w:val="7030A0"/>
                <w:szCs w:val="21"/>
              </w:rPr>
              <w:t xml:space="preserve"> 未建设</w:t>
            </w:r>
          </w:p>
        </w:tc>
        <w:tc>
          <w:tcPr>
            <w:tcW w:w="1246" w:type="dxa"/>
            <w:vAlign w:val="center"/>
          </w:tcPr>
          <w:p>
            <w:pPr>
              <w:pStyle w:val="16"/>
              <w:adjustRightInd w:val="0"/>
              <w:snapToGrid w:val="0"/>
              <w:spacing w:after="0" w:line="240" w:lineRule="auto"/>
              <w:jc w:val="center"/>
              <w:rPr>
                <w:color w:val="7030A0"/>
                <w:szCs w:val="21"/>
              </w:rPr>
            </w:pPr>
            <w:r>
              <w:rPr>
                <w:rFonts w:hint="eastAsia"/>
                <w:color w:val="7030A0"/>
                <w:szCs w:val="21"/>
              </w:rPr>
              <w:t>未建设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0" w:hRule="atLeast"/>
        </w:trPr>
        <w:tc>
          <w:tcPr>
            <w:tcW w:w="503" w:type="dxa"/>
            <w:vMerge w:val="continue"/>
            <w:vAlign w:val="center"/>
          </w:tcPr>
          <w:p>
            <w:pPr>
              <w:pStyle w:val="16"/>
              <w:adjustRightInd w:val="0"/>
              <w:snapToGrid w:val="0"/>
              <w:spacing w:after="0" w:line="240" w:lineRule="auto"/>
              <w:jc w:val="center"/>
              <w:rPr>
                <w:szCs w:val="21"/>
              </w:rPr>
            </w:pPr>
          </w:p>
        </w:tc>
        <w:tc>
          <w:tcPr>
            <w:tcW w:w="1108" w:type="dxa"/>
            <w:vAlign w:val="center"/>
          </w:tcPr>
          <w:p>
            <w:pPr>
              <w:pStyle w:val="16"/>
              <w:adjustRightInd w:val="0"/>
              <w:snapToGrid w:val="0"/>
              <w:spacing w:after="0" w:line="240" w:lineRule="auto"/>
              <w:ind w:left="-149" w:leftChars="-62" w:right="-115" w:rightChars="-48"/>
              <w:jc w:val="center"/>
              <w:rPr>
                <w:szCs w:val="21"/>
              </w:rPr>
            </w:pPr>
            <w:r>
              <w:rPr>
                <w:szCs w:val="21"/>
              </w:rPr>
              <w:t>自动洗车区</w:t>
            </w:r>
          </w:p>
        </w:tc>
        <w:tc>
          <w:tcPr>
            <w:tcW w:w="3044" w:type="dxa"/>
            <w:vAlign w:val="center"/>
          </w:tcPr>
          <w:p>
            <w:pPr>
              <w:pStyle w:val="16"/>
              <w:adjustRightInd w:val="0"/>
              <w:snapToGrid w:val="0"/>
              <w:spacing w:after="0" w:line="240" w:lineRule="auto"/>
              <w:jc w:val="center"/>
              <w:rPr>
                <w:szCs w:val="21"/>
              </w:rPr>
            </w:pPr>
            <w:r>
              <w:rPr>
                <w:szCs w:val="21"/>
              </w:rPr>
              <w:t>占地约60</w:t>
            </w:r>
            <w:r>
              <w:rPr>
                <w:rFonts w:hint="eastAsia"/>
                <w:szCs w:val="21"/>
              </w:rPr>
              <w:t>m</w:t>
            </w:r>
            <w:r>
              <w:rPr>
                <w:rFonts w:hint="eastAsia"/>
                <w:szCs w:val="21"/>
                <w:vertAlign w:val="superscript"/>
              </w:rPr>
              <w:t>2</w:t>
            </w:r>
            <w:r>
              <w:rPr>
                <w:szCs w:val="21"/>
              </w:rPr>
              <w:t>，设有一台自动洗车机，提供小型车清洗服务。</w:t>
            </w:r>
          </w:p>
        </w:tc>
        <w:tc>
          <w:tcPr>
            <w:tcW w:w="2621" w:type="dxa"/>
            <w:vAlign w:val="center"/>
          </w:tcPr>
          <w:p>
            <w:pPr>
              <w:pStyle w:val="16"/>
              <w:adjustRightInd w:val="0"/>
              <w:snapToGrid w:val="0"/>
              <w:spacing w:after="0" w:line="240" w:lineRule="auto"/>
              <w:jc w:val="center"/>
              <w:rPr>
                <w:szCs w:val="21"/>
              </w:rPr>
            </w:pPr>
            <w:r>
              <w:rPr>
                <w:szCs w:val="21"/>
              </w:rPr>
              <w:t>占地约60</w:t>
            </w:r>
            <w:r>
              <w:rPr>
                <w:rFonts w:hint="eastAsia"/>
                <w:szCs w:val="21"/>
              </w:rPr>
              <w:t>m</w:t>
            </w:r>
            <w:r>
              <w:rPr>
                <w:rFonts w:hint="eastAsia"/>
                <w:szCs w:val="21"/>
                <w:vertAlign w:val="superscript"/>
              </w:rPr>
              <w:t>2</w:t>
            </w:r>
            <w:r>
              <w:rPr>
                <w:szCs w:val="21"/>
              </w:rPr>
              <w:t>，设有一台自动洗车机，提供小型车清洗服务。</w:t>
            </w:r>
          </w:p>
        </w:tc>
        <w:tc>
          <w:tcPr>
            <w:tcW w:w="1246" w:type="dxa"/>
            <w:vAlign w:val="center"/>
          </w:tcPr>
          <w:p>
            <w:pPr>
              <w:pStyle w:val="16"/>
              <w:adjustRightInd w:val="0"/>
              <w:snapToGrid w:val="0"/>
              <w:spacing w:after="0" w:line="240" w:lineRule="auto"/>
              <w:jc w:val="center"/>
              <w:rPr>
                <w:szCs w:val="21"/>
              </w:rPr>
            </w:pPr>
            <w:r>
              <w:rPr>
                <w:rFonts w:hint="eastAsia"/>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0" w:hRule="atLeast"/>
        </w:trPr>
        <w:tc>
          <w:tcPr>
            <w:tcW w:w="503" w:type="dxa"/>
            <w:vMerge w:val="restart"/>
            <w:vAlign w:val="center"/>
          </w:tcPr>
          <w:p>
            <w:pPr>
              <w:pStyle w:val="16"/>
              <w:adjustRightInd w:val="0"/>
              <w:snapToGrid w:val="0"/>
              <w:spacing w:after="0" w:line="240" w:lineRule="auto"/>
              <w:jc w:val="center"/>
              <w:rPr>
                <w:szCs w:val="21"/>
              </w:rPr>
            </w:pPr>
            <w:r>
              <w:rPr>
                <w:szCs w:val="21"/>
              </w:rPr>
              <w:t>公</w:t>
            </w:r>
          </w:p>
          <w:p>
            <w:pPr>
              <w:pStyle w:val="16"/>
              <w:adjustRightInd w:val="0"/>
              <w:snapToGrid w:val="0"/>
              <w:spacing w:after="0" w:line="240" w:lineRule="auto"/>
              <w:jc w:val="center"/>
              <w:rPr>
                <w:szCs w:val="21"/>
              </w:rPr>
            </w:pPr>
            <w:r>
              <w:rPr>
                <w:szCs w:val="21"/>
              </w:rPr>
              <w:t>用</w:t>
            </w:r>
          </w:p>
          <w:p>
            <w:pPr>
              <w:pStyle w:val="16"/>
              <w:adjustRightInd w:val="0"/>
              <w:snapToGrid w:val="0"/>
              <w:spacing w:after="0" w:line="240" w:lineRule="auto"/>
              <w:jc w:val="center"/>
              <w:rPr>
                <w:szCs w:val="21"/>
              </w:rPr>
            </w:pPr>
            <w:r>
              <w:rPr>
                <w:szCs w:val="21"/>
              </w:rPr>
              <w:t>工</w:t>
            </w:r>
          </w:p>
          <w:p>
            <w:pPr>
              <w:pStyle w:val="16"/>
              <w:adjustRightInd w:val="0"/>
              <w:snapToGrid w:val="0"/>
              <w:spacing w:after="0" w:line="240" w:lineRule="auto"/>
              <w:jc w:val="center"/>
              <w:rPr>
                <w:szCs w:val="21"/>
              </w:rPr>
            </w:pPr>
            <w:r>
              <w:rPr>
                <w:szCs w:val="21"/>
              </w:rPr>
              <w:t>程</w:t>
            </w:r>
          </w:p>
        </w:tc>
        <w:tc>
          <w:tcPr>
            <w:tcW w:w="1108" w:type="dxa"/>
            <w:vAlign w:val="center"/>
          </w:tcPr>
          <w:p>
            <w:pPr>
              <w:pStyle w:val="16"/>
              <w:adjustRightInd w:val="0"/>
              <w:snapToGrid w:val="0"/>
              <w:spacing w:after="0" w:line="240" w:lineRule="auto"/>
              <w:jc w:val="center"/>
              <w:rPr>
                <w:szCs w:val="21"/>
              </w:rPr>
            </w:pPr>
            <w:r>
              <w:rPr>
                <w:szCs w:val="21"/>
              </w:rPr>
              <w:t>给水工程</w:t>
            </w:r>
          </w:p>
        </w:tc>
        <w:tc>
          <w:tcPr>
            <w:tcW w:w="3044" w:type="dxa"/>
            <w:vAlign w:val="center"/>
          </w:tcPr>
          <w:p>
            <w:pPr>
              <w:pStyle w:val="16"/>
              <w:adjustRightInd w:val="0"/>
              <w:snapToGrid w:val="0"/>
              <w:spacing w:after="0" w:line="240" w:lineRule="auto"/>
              <w:jc w:val="center"/>
              <w:rPr>
                <w:szCs w:val="21"/>
              </w:rPr>
            </w:pPr>
            <w:r>
              <w:rPr>
                <w:szCs w:val="21"/>
              </w:rPr>
              <w:t>市政供水供应</w:t>
            </w:r>
          </w:p>
        </w:tc>
        <w:tc>
          <w:tcPr>
            <w:tcW w:w="2621" w:type="dxa"/>
            <w:vAlign w:val="center"/>
          </w:tcPr>
          <w:p>
            <w:pPr>
              <w:pStyle w:val="16"/>
              <w:adjustRightInd w:val="0"/>
              <w:snapToGrid w:val="0"/>
              <w:spacing w:after="0" w:line="240" w:lineRule="auto"/>
              <w:jc w:val="center"/>
              <w:rPr>
                <w:szCs w:val="21"/>
              </w:rPr>
            </w:pPr>
            <w:r>
              <w:rPr>
                <w:szCs w:val="21"/>
              </w:rPr>
              <w:t>市政供水供应</w:t>
            </w:r>
          </w:p>
        </w:tc>
        <w:tc>
          <w:tcPr>
            <w:tcW w:w="1246" w:type="dxa"/>
            <w:vAlign w:val="center"/>
          </w:tcPr>
          <w:p>
            <w:pPr>
              <w:pStyle w:val="16"/>
              <w:adjustRightInd w:val="0"/>
              <w:snapToGrid w:val="0"/>
              <w:spacing w:after="0" w:line="240" w:lineRule="auto"/>
              <w:jc w:val="center"/>
              <w:rPr>
                <w:szCs w:val="21"/>
              </w:rPr>
            </w:pPr>
            <w:r>
              <w:rPr>
                <w:rFonts w:hint="eastAsia"/>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69" w:hRule="atLeast"/>
        </w:trPr>
        <w:tc>
          <w:tcPr>
            <w:tcW w:w="503" w:type="dxa"/>
            <w:vMerge w:val="continue"/>
            <w:vAlign w:val="center"/>
          </w:tcPr>
          <w:p>
            <w:pPr>
              <w:pStyle w:val="16"/>
              <w:adjustRightInd w:val="0"/>
              <w:snapToGrid w:val="0"/>
              <w:spacing w:after="0" w:line="240" w:lineRule="auto"/>
              <w:jc w:val="center"/>
              <w:rPr>
                <w:szCs w:val="21"/>
              </w:rPr>
            </w:pPr>
          </w:p>
        </w:tc>
        <w:tc>
          <w:tcPr>
            <w:tcW w:w="1108" w:type="dxa"/>
            <w:vAlign w:val="center"/>
          </w:tcPr>
          <w:p>
            <w:pPr>
              <w:pStyle w:val="16"/>
              <w:adjustRightInd w:val="0"/>
              <w:snapToGrid w:val="0"/>
              <w:spacing w:after="0" w:line="240" w:lineRule="auto"/>
              <w:jc w:val="center"/>
              <w:rPr>
                <w:szCs w:val="21"/>
              </w:rPr>
            </w:pPr>
            <w:r>
              <w:rPr>
                <w:szCs w:val="21"/>
              </w:rPr>
              <w:t>排水工程</w:t>
            </w:r>
          </w:p>
        </w:tc>
        <w:tc>
          <w:tcPr>
            <w:tcW w:w="3044" w:type="dxa"/>
            <w:vAlign w:val="center"/>
          </w:tcPr>
          <w:p>
            <w:pPr>
              <w:pStyle w:val="16"/>
              <w:adjustRightInd w:val="0"/>
              <w:snapToGrid w:val="0"/>
              <w:spacing w:after="0" w:line="240" w:lineRule="auto"/>
              <w:jc w:val="center"/>
              <w:rPr>
                <w:szCs w:val="21"/>
              </w:rPr>
            </w:pPr>
            <w:r>
              <w:rPr>
                <w:szCs w:val="21"/>
              </w:rPr>
              <w:t>生活污水经三级化粪</w:t>
            </w:r>
            <w:r>
              <w:rPr>
                <w:rFonts w:hint="eastAsia"/>
                <w:szCs w:val="21"/>
              </w:rPr>
              <w:t>（3m</w:t>
            </w:r>
            <w:r>
              <w:rPr>
                <w:rFonts w:hint="eastAsia"/>
                <w:szCs w:val="21"/>
                <w:vertAlign w:val="superscript"/>
              </w:rPr>
              <w:t>3</w:t>
            </w:r>
            <w:r>
              <w:rPr>
                <w:rFonts w:hint="eastAsia"/>
                <w:szCs w:val="21"/>
              </w:rPr>
              <w:t>）</w:t>
            </w:r>
            <w:r>
              <w:rPr>
                <w:szCs w:val="21"/>
              </w:rPr>
              <w:t>预处理后与</w:t>
            </w:r>
            <w:r>
              <w:rPr>
                <w:kern w:val="0"/>
                <w:szCs w:val="21"/>
              </w:rPr>
              <w:t>经</w:t>
            </w:r>
            <w:r>
              <w:rPr>
                <w:szCs w:val="21"/>
              </w:rPr>
              <w:t>隔油池</w:t>
            </w:r>
            <w:r>
              <w:rPr>
                <w:rFonts w:hint="eastAsia"/>
                <w:szCs w:val="21"/>
              </w:rPr>
              <w:t>（3m</w:t>
            </w:r>
            <w:r>
              <w:rPr>
                <w:rFonts w:hint="eastAsia"/>
                <w:szCs w:val="21"/>
                <w:vertAlign w:val="superscript"/>
              </w:rPr>
              <w:t>3</w:t>
            </w:r>
            <w:r>
              <w:rPr>
                <w:rFonts w:hint="eastAsia"/>
                <w:szCs w:val="21"/>
              </w:rPr>
              <w:t>）</w:t>
            </w:r>
            <w:r>
              <w:rPr>
                <w:szCs w:val="21"/>
              </w:rPr>
              <w:t>处理的</w:t>
            </w:r>
            <w:r>
              <w:rPr>
                <w:kern w:val="0"/>
                <w:szCs w:val="21"/>
              </w:rPr>
              <w:t>场地清洗废水、洗车废水、初期雨水</w:t>
            </w:r>
            <w:r>
              <w:rPr>
                <w:szCs w:val="21"/>
              </w:rPr>
              <w:t>经市政污水管网排入高州市城区水质净化厂进一步处理。</w:t>
            </w:r>
          </w:p>
        </w:tc>
        <w:tc>
          <w:tcPr>
            <w:tcW w:w="2621" w:type="dxa"/>
            <w:vAlign w:val="center"/>
          </w:tcPr>
          <w:p>
            <w:pPr>
              <w:pStyle w:val="16"/>
              <w:adjustRightInd w:val="0"/>
              <w:snapToGrid w:val="0"/>
              <w:spacing w:after="0" w:line="240" w:lineRule="auto"/>
              <w:jc w:val="center"/>
              <w:rPr>
                <w:szCs w:val="21"/>
              </w:rPr>
            </w:pPr>
            <w:r>
              <w:rPr>
                <w:szCs w:val="21"/>
              </w:rPr>
              <w:t>生活污水经三级化粪池</w:t>
            </w:r>
            <w:r>
              <w:rPr>
                <w:rFonts w:hint="eastAsia"/>
                <w:szCs w:val="21"/>
              </w:rPr>
              <w:t>（3m</w:t>
            </w:r>
            <w:r>
              <w:rPr>
                <w:rFonts w:hint="eastAsia"/>
                <w:szCs w:val="21"/>
                <w:vertAlign w:val="superscript"/>
              </w:rPr>
              <w:t>3</w:t>
            </w:r>
            <w:r>
              <w:rPr>
                <w:rFonts w:hint="eastAsia"/>
                <w:szCs w:val="21"/>
              </w:rPr>
              <w:t>）</w:t>
            </w:r>
            <w:r>
              <w:rPr>
                <w:szCs w:val="21"/>
              </w:rPr>
              <w:t>预处理后与</w:t>
            </w:r>
            <w:r>
              <w:rPr>
                <w:kern w:val="0"/>
                <w:szCs w:val="21"/>
              </w:rPr>
              <w:t>经</w:t>
            </w:r>
            <w:r>
              <w:rPr>
                <w:szCs w:val="21"/>
              </w:rPr>
              <w:t>隔油池</w:t>
            </w:r>
            <w:r>
              <w:rPr>
                <w:rFonts w:hint="eastAsia"/>
                <w:szCs w:val="21"/>
              </w:rPr>
              <w:t>（3m</w:t>
            </w:r>
            <w:r>
              <w:rPr>
                <w:rFonts w:hint="eastAsia"/>
                <w:szCs w:val="21"/>
                <w:vertAlign w:val="superscript"/>
              </w:rPr>
              <w:t>3</w:t>
            </w:r>
            <w:r>
              <w:rPr>
                <w:rFonts w:hint="eastAsia"/>
                <w:szCs w:val="21"/>
              </w:rPr>
              <w:t>）</w:t>
            </w:r>
            <w:r>
              <w:rPr>
                <w:szCs w:val="21"/>
              </w:rPr>
              <w:t>处理的</w:t>
            </w:r>
            <w:r>
              <w:rPr>
                <w:kern w:val="0"/>
                <w:szCs w:val="21"/>
              </w:rPr>
              <w:t>场地清洗废水、洗车废水、初期雨水</w:t>
            </w:r>
            <w:r>
              <w:rPr>
                <w:szCs w:val="21"/>
              </w:rPr>
              <w:t>经市政污水管网排入高州市城区水质净化厂进一步处理。</w:t>
            </w:r>
          </w:p>
        </w:tc>
        <w:tc>
          <w:tcPr>
            <w:tcW w:w="1246" w:type="dxa"/>
            <w:vAlign w:val="center"/>
          </w:tcPr>
          <w:p>
            <w:pPr>
              <w:pStyle w:val="16"/>
              <w:adjustRightInd w:val="0"/>
              <w:snapToGrid w:val="0"/>
              <w:spacing w:after="0" w:line="240" w:lineRule="auto"/>
              <w:jc w:val="center"/>
              <w:rPr>
                <w:szCs w:val="21"/>
              </w:rPr>
            </w:pPr>
            <w:r>
              <w:rPr>
                <w:rFonts w:hint="eastAsia"/>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0" w:hRule="atLeast"/>
        </w:trPr>
        <w:tc>
          <w:tcPr>
            <w:tcW w:w="503" w:type="dxa"/>
            <w:vMerge w:val="continue"/>
            <w:vAlign w:val="center"/>
          </w:tcPr>
          <w:p>
            <w:pPr>
              <w:pStyle w:val="16"/>
              <w:adjustRightInd w:val="0"/>
              <w:snapToGrid w:val="0"/>
              <w:spacing w:after="0" w:line="240" w:lineRule="auto"/>
              <w:jc w:val="center"/>
              <w:rPr>
                <w:szCs w:val="21"/>
              </w:rPr>
            </w:pPr>
          </w:p>
        </w:tc>
        <w:tc>
          <w:tcPr>
            <w:tcW w:w="1108" w:type="dxa"/>
            <w:vAlign w:val="center"/>
          </w:tcPr>
          <w:p>
            <w:pPr>
              <w:pStyle w:val="16"/>
              <w:adjustRightInd w:val="0"/>
              <w:snapToGrid w:val="0"/>
              <w:spacing w:after="0" w:line="240" w:lineRule="auto"/>
              <w:jc w:val="center"/>
              <w:rPr>
                <w:szCs w:val="21"/>
              </w:rPr>
            </w:pPr>
            <w:r>
              <w:rPr>
                <w:szCs w:val="21"/>
              </w:rPr>
              <w:t>供电工程</w:t>
            </w:r>
          </w:p>
        </w:tc>
        <w:tc>
          <w:tcPr>
            <w:tcW w:w="3044" w:type="dxa"/>
            <w:vAlign w:val="center"/>
          </w:tcPr>
          <w:p>
            <w:pPr>
              <w:pStyle w:val="16"/>
              <w:adjustRightInd w:val="0"/>
              <w:snapToGrid w:val="0"/>
              <w:spacing w:after="0" w:line="240" w:lineRule="auto"/>
              <w:jc w:val="center"/>
              <w:rPr>
                <w:szCs w:val="21"/>
              </w:rPr>
            </w:pPr>
            <w:r>
              <w:rPr>
                <w:szCs w:val="21"/>
              </w:rPr>
              <w:t>市政电网供应，配备一台40kW柴油发电机备用。</w:t>
            </w:r>
          </w:p>
        </w:tc>
        <w:tc>
          <w:tcPr>
            <w:tcW w:w="2621" w:type="dxa"/>
            <w:vAlign w:val="center"/>
          </w:tcPr>
          <w:p>
            <w:pPr>
              <w:pStyle w:val="16"/>
              <w:adjustRightInd w:val="0"/>
              <w:snapToGrid w:val="0"/>
              <w:spacing w:after="0" w:line="240" w:lineRule="auto"/>
              <w:jc w:val="center"/>
              <w:rPr>
                <w:szCs w:val="21"/>
              </w:rPr>
            </w:pPr>
            <w:r>
              <w:rPr>
                <w:szCs w:val="21"/>
              </w:rPr>
              <w:t>市政电网供应。</w:t>
            </w:r>
          </w:p>
        </w:tc>
        <w:tc>
          <w:tcPr>
            <w:tcW w:w="1246" w:type="dxa"/>
            <w:vAlign w:val="center"/>
          </w:tcPr>
          <w:p>
            <w:pPr>
              <w:pStyle w:val="16"/>
              <w:adjustRightInd w:val="0"/>
              <w:snapToGrid w:val="0"/>
              <w:spacing w:after="0" w:line="240" w:lineRule="auto"/>
              <w:jc w:val="center"/>
              <w:rPr>
                <w:szCs w:val="21"/>
              </w:rPr>
            </w:pPr>
            <w:r>
              <w:rPr>
                <w:rFonts w:hint="eastAsia"/>
                <w:szCs w:val="21"/>
              </w:rPr>
              <w:t>项目取消了设置柴油发电机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0" w:hRule="atLeast"/>
        </w:trPr>
        <w:tc>
          <w:tcPr>
            <w:tcW w:w="503" w:type="dxa"/>
            <w:vMerge w:val="restart"/>
            <w:vAlign w:val="center"/>
          </w:tcPr>
          <w:p>
            <w:pPr>
              <w:pStyle w:val="16"/>
              <w:adjustRightInd w:val="0"/>
              <w:snapToGrid w:val="0"/>
              <w:spacing w:after="0" w:line="240" w:lineRule="auto"/>
              <w:jc w:val="center"/>
              <w:rPr>
                <w:szCs w:val="21"/>
              </w:rPr>
            </w:pPr>
            <w:bookmarkStart w:id="125" w:name="_GoBack" w:colFirst="0" w:colLast="0"/>
            <w:r>
              <w:rPr>
                <w:szCs w:val="21"/>
              </w:rPr>
              <w:t>环</w:t>
            </w:r>
          </w:p>
          <w:p>
            <w:pPr>
              <w:pStyle w:val="16"/>
              <w:adjustRightInd w:val="0"/>
              <w:snapToGrid w:val="0"/>
              <w:spacing w:after="0" w:line="240" w:lineRule="auto"/>
              <w:jc w:val="center"/>
              <w:rPr>
                <w:szCs w:val="21"/>
              </w:rPr>
            </w:pPr>
            <w:r>
              <w:rPr>
                <w:szCs w:val="21"/>
              </w:rPr>
              <w:t>保</w:t>
            </w:r>
          </w:p>
          <w:p>
            <w:pPr>
              <w:pStyle w:val="16"/>
              <w:adjustRightInd w:val="0"/>
              <w:snapToGrid w:val="0"/>
              <w:spacing w:after="0" w:line="240" w:lineRule="auto"/>
              <w:jc w:val="center"/>
              <w:rPr>
                <w:szCs w:val="21"/>
              </w:rPr>
            </w:pPr>
            <w:r>
              <w:rPr>
                <w:szCs w:val="21"/>
              </w:rPr>
              <w:t>工</w:t>
            </w:r>
          </w:p>
          <w:p>
            <w:pPr>
              <w:pStyle w:val="16"/>
              <w:adjustRightInd w:val="0"/>
              <w:snapToGrid w:val="0"/>
              <w:spacing w:after="0" w:line="240" w:lineRule="auto"/>
              <w:jc w:val="center"/>
              <w:rPr>
                <w:szCs w:val="21"/>
              </w:rPr>
            </w:pPr>
            <w:r>
              <w:rPr>
                <w:szCs w:val="21"/>
              </w:rPr>
              <w:t>程</w:t>
            </w:r>
          </w:p>
        </w:tc>
        <w:tc>
          <w:tcPr>
            <w:tcW w:w="1108" w:type="dxa"/>
            <w:vMerge w:val="restart"/>
            <w:vAlign w:val="center"/>
          </w:tcPr>
          <w:p>
            <w:pPr>
              <w:ind w:firstLine="199" w:firstLineChars="95"/>
              <w:rPr>
                <w:rFonts w:cs="Times New Roman"/>
                <w:sz w:val="21"/>
                <w:szCs w:val="21"/>
              </w:rPr>
            </w:pPr>
            <w:r>
              <w:rPr>
                <w:rFonts w:cs="Times New Roman"/>
                <w:sz w:val="21"/>
                <w:szCs w:val="21"/>
              </w:rPr>
              <w:t>废气</w:t>
            </w:r>
          </w:p>
        </w:tc>
        <w:tc>
          <w:tcPr>
            <w:tcW w:w="3044" w:type="dxa"/>
            <w:vAlign w:val="center"/>
          </w:tcPr>
          <w:p>
            <w:pPr>
              <w:pStyle w:val="16"/>
              <w:adjustRightInd w:val="0"/>
              <w:snapToGrid w:val="0"/>
              <w:spacing w:after="0" w:line="240" w:lineRule="auto"/>
              <w:jc w:val="center"/>
              <w:rPr>
                <w:szCs w:val="21"/>
              </w:rPr>
            </w:pPr>
            <w:r>
              <w:rPr>
                <w:szCs w:val="21"/>
              </w:rPr>
              <w:t>油气配套油气回收装置。</w:t>
            </w:r>
          </w:p>
        </w:tc>
        <w:tc>
          <w:tcPr>
            <w:tcW w:w="2621" w:type="dxa"/>
            <w:vAlign w:val="center"/>
          </w:tcPr>
          <w:p>
            <w:pPr>
              <w:pStyle w:val="16"/>
              <w:adjustRightInd w:val="0"/>
              <w:snapToGrid w:val="0"/>
              <w:spacing w:after="0" w:line="240" w:lineRule="auto"/>
              <w:jc w:val="center"/>
              <w:rPr>
                <w:szCs w:val="21"/>
              </w:rPr>
            </w:pPr>
            <w:r>
              <w:rPr>
                <w:szCs w:val="21"/>
              </w:rPr>
              <w:t>油气配套油气回收装置。</w:t>
            </w:r>
          </w:p>
        </w:tc>
        <w:tc>
          <w:tcPr>
            <w:tcW w:w="1246" w:type="dxa"/>
            <w:vAlign w:val="center"/>
          </w:tcPr>
          <w:p>
            <w:pPr>
              <w:pStyle w:val="16"/>
              <w:adjustRightInd w:val="0"/>
              <w:snapToGrid w:val="0"/>
              <w:spacing w:after="0" w:line="240" w:lineRule="auto"/>
              <w:jc w:val="center"/>
              <w:rPr>
                <w:szCs w:val="21"/>
              </w:rPr>
            </w:pPr>
            <w:r>
              <w:rPr>
                <w:rFonts w:hint="eastAsia"/>
                <w:szCs w:val="21"/>
              </w:rPr>
              <w:t>无变化</w:t>
            </w:r>
          </w:p>
        </w:tc>
      </w:tr>
      <w:bookmarkEnd w:id="125"/>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0" w:hRule="atLeast"/>
        </w:trPr>
        <w:tc>
          <w:tcPr>
            <w:tcW w:w="503" w:type="dxa"/>
            <w:vMerge w:val="continue"/>
            <w:vAlign w:val="center"/>
          </w:tcPr>
          <w:p>
            <w:pPr>
              <w:pStyle w:val="16"/>
              <w:adjustRightInd w:val="0"/>
              <w:snapToGrid w:val="0"/>
              <w:spacing w:after="0" w:line="240" w:lineRule="auto"/>
              <w:jc w:val="center"/>
              <w:rPr>
                <w:szCs w:val="21"/>
              </w:rPr>
            </w:pPr>
          </w:p>
        </w:tc>
        <w:tc>
          <w:tcPr>
            <w:tcW w:w="1108" w:type="dxa"/>
            <w:vMerge w:val="continue"/>
            <w:vAlign w:val="center"/>
          </w:tcPr>
          <w:p>
            <w:pPr>
              <w:ind w:firstLine="420"/>
              <w:jc w:val="center"/>
              <w:rPr>
                <w:rFonts w:cs="Times New Roman"/>
                <w:sz w:val="21"/>
                <w:szCs w:val="21"/>
              </w:rPr>
            </w:pPr>
          </w:p>
        </w:tc>
        <w:tc>
          <w:tcPr>
            <w:tcW w:w="3044" w:type="dxa"/>
            <w:vAlign w:val="center"/>
          </w:tcPr>
          <w:p>
            <w:pPr>
              <w:pStyle w:val="16"/>
              <w:adjustRightInd w:val="0"/>
              <w:snapToGrid w:val="0"/>
              <w:spacing w:after="0" w:line="240" w:lineRule="auto"/>
              <w:jc w:val="center"/>
              <w:rPr>
                <w:szCs w:val="21"/>
              </w:rPr>
            </w:pPr>
            <w:r>
              <w:rPr>
                <w:szCs w:val="21"/>
              </w:rPr>
              <w:t>备用发电机尾气收集后引至室外排放。</w:t>
            </w:r>
          </w:p>
        </w:tc>
        <w:tc>
          <w:tcPr>
            <w:tcW w:w="2621" w:type="dxa"/>
            <w:vAlign w:val="center"/>
          </w:tcPr>
          <w:p>
            <w:pPr>
              <w:pStyle w:val="16"/>
              <w:adjustRightInd w:val="0"/>
              <w:snapToGrid w:val="0"/>
              <w:spacing w:after="0" w:line="240" w:lineRule="auto"/>
              <w:jc w:val="center"/>
              <w:rPr>
                <w:szCs w:val="21"/>
              </w:rPr>
            </w:pPr>
            <w:r>
              <w:rPr>
                <w:szCs w:val="21"/>
              </w:rPr>
              <w:t>备用发电机尾气收集后引至室外排放。</w:t>
            </w:r>
          </w:p>
        </w:tc>
        <w:tc>
          <w:tcPr>
            <w:tcW w:w="1246" w:type="dxa"/>
            <w:vAlign w:val="center"/>
          </w:tcPr>
          <w:p>
            <w:pPr>
              <w:pStyle w:val="16"/>
              <w:adjustRightInd w:val="0"/>
              <w:snapToGrid w:val="0"/>
              <w:spacing w:after="0" w:line="240" w:lineRule="auto"/>
              <w:jc w:val="center"/>
              <w:rPr>
                <w:szCs w:val="21"/>
              </w:rPr>
            </w:pPr>
            <w:r>
              <w:rPr>
                <w:rFonts w:hint="eastAsia"/>
                <w:szCs w:val="21"/>
              </w:rPr>
              <w:t>项目取消了设置备用发电机，故没有</w:t>
            </w:r>
            <w:r>
              <w:rPr>
                <w:szCs w:val="21"/>
              </w:rPr>
              <w:t>备用发电机尾气</w:t>
            </w:r>
            <w:r>
              <w:rPr>
                <w:rFonts w:hint="eastAsia"/>
                <w:szCs w:val="21"/>
              </w:rPr>
              <w:t>产生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5" w:hRule="atLeast"/>
        </w:trPr>
        <w:tc>
          <w:tcPr>
            <w:tcW w:w="503" w:type="dxa"/>
            <w:vMerge w:val="continue"/>
            <w:vAlign w:val="center"/>
          </w:tcPr>
          <w:p>
            <w:pPr>
              <w:pStyle w:val="16"/>
              <w:adjustRightInd w:val="0"/>
              <w:snapToGrid w:val="0"/>
              <w:spacing w:after="0" w:line="240" w:lineRule="auto"/>
              <w:jc w:val="center"/>
              <w:rPr>
                <w:szCs w:val="21"/>
              </w:rPr>
            </w:pPr>
          </w:p>
        </w:tc>
        <w:tc>
          <w:tcPr>
            <w:tcW w:w="1108" w:type="dxa"/>
            <w:vMerge w:val="restart"/>
            <w:vAlign w:val="center"/>
          </w:tcPr>
          <w:p>
            <w:pPr>
              <w:ind w:firstLine="199" w:firstLineChars="95"/>
              <w:rPr>
                <w:rFonts w:cs="Times New Roman"/>
                <w:sz w:val="21"/>
                <w:szCs w:val="21"/>
              </w:rPr>
            </w:pPr>
            <w:r>
              <w:rPr>
                <w:rFonts w:cs="Times New Roman"/>
                <w:sz w:val="21"/>
                <w:szCs w:val="21"/>
              </w:rPr>
              <w:t>废水</w:t>
            </w:r>
          </w:p>
        </w:tc>
        <w:tc>
          <w:tcPr>
            <w:tcW w:w="3044" w:type="dxa"/>
            <w:vAlign w:val="center"/>
          </w:tcPr>
          <w:p>
            <w:pPr>
              <w:pStyle w:val="16"/>
              <w:adjustRightInd w:val="0"/>
              <w:snapToGrid w:val="0"/>
              <w:spacing w:after="0" w:line="240" w:lineRule="auto"/>
              <w:jc w:val="center"/>
              <w:rPr>
                <w:szCs w:val="21"/>
              </w:rPr>
            </w:pPr>
            <w:r>
              <w:rPr>
                <w:szCs w:val="21"/>
              </w:rPr>
              <w:t>生活污水经三级化粪池预处理后由市政污水管网排入高州市城区水质净化厂进一步处理。</w:t>
            </w:r>
          </w:p>
        </w:tc>
        <w:tc>
          <w:tcPr>
            <w:tcW w:w="2621" w:type="dxa"/>
            <w:vAlign w:val="center"/>
          </w:tcPr>
          <w:p>
            <w:pPr>
              <w:pStyle w:val="16"/>
              <w:adjustRightInd w:val="0"/>
              <w:snapToGrid w:val="0"/>
              <w:spacing w:after="0" w:line="240" w:lineRule="auto"/>
              <w:jc w:val="center"/>
              <w:rPr>
                <w:szCs w:val="21"/>
              </w:rPr>
            </w:pPr>
            <w:r>
              <w:rPr>
                <w:szCs w:val="21"/>
              </w:rPr>
              <w:t>生活污水经三级化粪池预处理后由市政污水管网排入高州市城区水质净化厂进一步处理。</w:t>
            </w:r>
          </w:p>
        </w:tc>
        <w:tc>
          <w:tcPr>
            <w:tcW w:w="1246" w:type="dxa"/>
            <w:vAlign w:val="center"/>
          </w:tcPr>
          <w:p>
            <w:pPr>
              <w:pStyle w:val="16"/>
              <w:adjustRightInd w:val="0"/>
              <w:snapToGrid w:val="0"/>
              <w:spacing w:after="0" w:line="240" w:lineRule="auto"/>
              <w:jc w:val="center"/>
              <w:rPr>
                <w:szCs w:val="21"/>
              </w:rPr>
            </w:pPr>
            <w:r>
              <w:rPr>
                <w:rFonts w:hint="eastAsia"/>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5" w:hRule="atLeast"/>
        </w:trPr>
        <w:tc>
          <w:tcPr>
            <w:tcW w:w="503" w:type="dxa"/>
            <w:vMerge w:val="continue"/>
            <w:vAlign w:val="center"/>
          </w:tcPr>
          <w:p>
            <w:pPr>
              <w:pStyle w:val="16"/>
              <w:adjustRightInd w:val="0"/>
              <w:snapToGrid w:val="0"/>
              <w:spacing w:after="0" w:line="240" w:lineRule="auto"/>
              <w:jc w:val="center"/>
              <w:rPr>
                <w:szCs w:val="21"/>
              </w:rPr>
            </w:pPr>
          </w:p>
        </w:tc>
        <w:tc>
          <w:tcPr>
            <w:tcW w:w="1108" w:type="dxa"/>
            <w:vMerge w:val="continue"/>
            <w:vAlign w:val="center"/>
          </w:tcPr>
          <w:p>
            <w:pPr>
              <w:pStyle w:val="16"/>
              <w:adjustRightInd w:val="0"/>
              <w:snapToGrid w:val="0"/>
              <w:spacing w:after="0" w:line="240" w:lineRule="auto"/>
              <w:jc w:val="center"/>
              <w:rPr>
                <w:szCs w:val="21"/>
              </w:rPr>
            </w:pPr>
          </w:p>
        </w:tc>
        <w:tc>
          <w:tcPr>
            <w:tcW w:w="3044" w:type="dxa"/>
            <w:vAlign w:val="center"/>
          </w:tcPr>
          <w:p>
            <w:pPr>
              <w:pStyle w:val="16"/>
              <w:adjustRightInd w:val="0"/>
              <w:snapToGrid w:val="0"/>
              <w:spacing w:after="0" w:line="240" w:lineRule="auto"/>
              <w:jc w:val="center"/>
              <w:rPr>
                <w:szCs w:val="21"/>
              </w:rPr>
            </w:pPr>
            <w:r>
              <w:rPr>
                <w:kern w:val="0"/>
                <w:szCs w:val="21"/>
              </w:rPr>
              <w:t>场地清洗废水、洗车废水、初期雨水经</w:t>
            </w:r>
            <w:r>
              <w:rPr>
                <w:szCs w:val="21"/>
              </w:rPr>
              <w:t>隔油池处理后由市政污水管网排入高州市城区水质净化厂进一步处理</w:t>
            </w:r>
            <w:r>
              <w:rPr>
                <w:kern w:val="0"/>
                <w:szCs w:val="21"/>
              </w:rPr>
              <w:t>。</w:t>
            </w:r>
          </w:p>
        </w:tc>
        <w:tc>
          <w:tcPr>
            <w:tcW w:w="2621" w:type="dxa"/>
            <w:vAlign w:val="center"/>
          </w:tcPr>
          <w:p>
            <w:pPr>
              <w:pStyle w:val="16"/>
              <w:adjustRightInd w:val="0"/>
              <w:snapToGrid w:val="0"/>
              <w:spacing w:after="0" w:line="240" w:lineRule="auto"/>
              <w:jc w:val="center"/>
              <w:rPr>
                <w:kern w:val="0"/>
                <w:szCs w:val="21"/>
              </w:rPr>
            </w:pPr>
            <w:r>
              <w:rPr>
                <w:kern w:val="0"/>
                <w:szCs w:val="21"/>
              </w:rPr>
              <w:t>场地清洗废水、洗车废水、初期雨水经</w:t>
            </w:r>
            <w:r>
              <w:rPr>
                <w:szCs w:val="21"/>
              </w:rPr>
              <w:t>隔油池处理后由市政污水管网排入高州市城区水质净化厂进一步处理</w:t>
            </w:r>
            <w:r>
              <w:rPr>
                <w:kern w:val="0"/>
                <w:szCs w:val="21"/>
              </w:rPr>
              <w:t>。</w:t>
            </w:r>
          </w:p>
        </w:tc>
        <w:tc>
          <w:tcPr>
            <w:tcW w:w="1246" w:type="dxa"/>
            <w:vAlign w:val="center"/>
          </w:tcPr>
          <w:p>
            <w:pPr>
              <w:pStyle w:val="16"/>
              <w:adjustRightInd w:val="0"/>
              <w:snapToGrid w:val="0"/>
              <w:spacing w:after="0" w:line="240" w:lineRule="auto"/>
              <w:jc w:val="center"/>
              <w:rPr>
                <w:kern w:val="0"/>
                <w:szCs w:val="21"/>
              </w:rPr>
            </w:pPr>
            <w:r>
              <w:rPr>
                <w:rFonts w:hint="eastAsia"/>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0" w:hRule="atLeast"/>
        </w:trPr>
        <w:tc>
          <w:tcPr>
            <w:tcW w:w="503" w:type="dxa"/>
            <w:vMerge w:val="continue"/>
            <w:vAlign w:val="center"/>
          </w:tcPr>
          <w:p>
            <w:pPr>
              <w:pStyle w:val="16"/>
              <w:adjustRightInd w:val="0"/>
              <w:snapToGrid w:val="0"/>
              <w:spacing w:after="0" w:line="240" w:lineRule="auto"/>
              <w:jc w:val="center"/>
              <w:rPr>
                <w:szCs w:val="21"/>
              </w:rPr>
            </w:pPr>
          </w:p>
        </w:tc>
        <w:tc>
          <w:tcPr>
            <w:tcW w:w="1108" w:type="dxa"/>
            <w:vAlign w:val="center"/>
          </w:tcPr>
          <w:p>
            <w:pPr>
              <w:pStyle w:val="16"/>
              <w:adjustRightInd w:val="0"/>
              <w:snapToGrid w:val="0"/>
              <w:spacing w:after="0" w:line="240" w:lineRule="auto"/>
              <w:jc w:val="center"/>
              <w:rPr>
                <w:szCs w:val="21"/>
              </w:rPr>
            </w:pPr>
            <w:r>
              <w:rPr>
                <w:szCs w:val="21"/>
              </w:rPr>
              <w:t>噪声</w:t>
            </w:r>
          </w:p>
        </w:tc>
        <w:tc>
          <w:tcPr>
            <w:tcW w:w="3044" w:type="dxa"/>
            <w:vAlign w:val="center"/>
          </w:tcPr>
          <w:p>
            <w:pPr>
              <w:pStyle w:val="16"/>
              <w:adjustRightInd w:val="0"/>
              <w:snapToGrid w:val="0"/>
              <w:spacing w:after="0" w:line="240" w:lineRule="auto"/>
              <w:jc w:val="center"/>
              <w:rPr>
                <w:szCs w:val="21"/>
              </w:rPr>
            </w:pPr>
            <w:r>
              <w:rPr>
                <w:szCs w:val="21"/>
              </w:rPr>
              <w:t>合理布局、加强管理、墙体隔音等治理措施。</w:t>
            </w:r>
          </w:p>
        </w:tc>
        <w:tc>
          <w:tcPr>
            <w:tcW w:w="2621" w:type="dxa"/>
            <w:vAlign w:val="center"/>
          </w:tcPr>
          <w:p>
            <w:pPr>
              <w:pStyle w:val="16"/>
              <w:adjustRightInd w:val="0"/>
              <w:snapToGrid w:val="0"/>
              <w:spacing w:after="0" w:line="240" w:lineRule="auto"/>
              <w:jc w:val="center"/>
              <w:rPr>
                <w:szCs w:val="21"/>
              </w:rPr>
            </w:pPr>
            <w:r>
              <w:rPr>
                <w:szCs w:val="21"/>
              </w:rPr>
              <w:t>合理布局、加强管理、墙体隔音等治理措施。</w:t>
            </w:r>
          </w:p>
        </w:tc>
        <w:tc>
          <w:tcPr>
            <w:tcW w:w="1246" w:type="dxa"/>
            <w:vAlign w:val="center"/>
          </w:tcPr>
          <w:p>
            <w:pPr>
              <w:pStyle w:val="16"/>
              <w:adjustRightInd w:val="0"/>
              <w:snapToGrid w:val="0"/>
              <w:spacing w:after="0" w:line="240" w:lineRule="auto"/>
              <w:jc w:val="center"/>
              <w:rPr>
                <w:szCs w:val="21"/>
              </w:rPr>
            </w:pPr>
            <w:r>
              <w:rPr>
                <w:rFonts w:hint="eastAsia"/>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0" w:hRule="atLeast"/>
        </w:trPr>
        <w:tc>
          <w:tcPr>
            <w:tcW w:w="503" w:type="dxa"/>
            <w:vMerge w:val="continue"/>
            <w:vAlign w:val="center"/>
          </w:tcPr>
          <w:p>
            <w:pPr>
              <w:pStyle w:val="16"/>
              <w:adjustRightInd w:val="0"/>
              <w:snapToGrid w:val="0"/>
              <w:spacing w:after="0" w:line="240" w:lineRule="auto"/>
              <w:jc w:val="center"/>
              <w:rPr>
                <w:szCs w:val="21"/>
              </w:rPr>
            </w:pPr>
          </w:p>
        </w:tc>
        <w:tc>
          <w:tcPr>
            <w:tcW w:w="1108" w:type="dxa"/>
            <w:vMerge w:val="restart"/>
            <w:vAlign w:val="center"/>
          </w:tcPr>
          <w:p>
            <w:pPr>
              <w:pStyle w:val="16"/>
              <w:adjustRightInd w:val="0"/>
              <w:snapToGrid w:val="0"/>
              <w:spacing w:after="0" w:line="240" w:lineRule="auto"/>
              <w:jc w:val="center"/>
              <w:rPr>
                <w:szCs w:val="21"/>
              </w:rPr>
            </w:pPr>
            <w:r>
              <w:rPr>
                <w:szCs w:val="21"/>
              </w:rPr>
              <w:t>固废</w:t>
            </w:r>
          </w:p>
        </w:tc>
        <w:tc>
          <w:tcPr>
            <w:tcW w:w="3044" w:type="dxa"/>
            <w:vAlign w:val="center"/>
          </w:tcPr>
          <w:p>
            <w:pPr>
              <w:spacing w:line="240" w:lineRule="auto"/>
              <w:ind w:firstLine="0" w:firstLineChars="0"/>
              <w:jc w:val="center"/>
              <w:rPr>
                <w:rFonts w:cs="Times New Roman"/>
                <w:sz w:val="21"/>
                <w:szCs w:val="21"/>
              </w:rPr>
            </w:pPr>
            <w:r>
              <w:rPr>
                <w:rFonts w:cs="Times New Roman"/>
                <w:sz w:val="21"/>
                <w:szCs w:val="21"/>
              </w:rPr>
              <w:t>生活垃圾交环卫部门清运处理。</w:t>
            </w:r>
          </w:p>
        </w:tc>
        <w:tc>
          <w:tcPr>
            <w:tcW w:w="2621" w:type="dxa"/>
            <w:vAlign w:val="center"/>
          </w:tcPr>
          <w:p>
            <w:pPr>
              <w:spacing w:line="240" w:lineRule="auto"/>
              <w:ind w:firstLine="0" w:firstLineChars="0"/>
              <w:jc w:val="center"/>
              <w:rPr>
                <w:rFonts w:cs="Times New Roman"/>
                <w:sz w:val="21"/>
                <w:szCs w:val="21"/>
              </w:rPr>
            </w:pPr>
            <w:r>
              <w:rPr>
                <w:rFonts w:cs="Times New Roman"/>
                <w:sz w:val="21"/>
                <w:szCs w:val="21"/>
              </w:rPr>
              <w:t>生活垃圾交环卫部门清运处理。</w:t>
            </w:r>
          </w:p>
        </w:tc>
        <w:tc>
          <w:tcPr>
            <w:tcW w:w="1246" w:type="dxa"/>
            <w:vAlign w:val="center"/>
          </w:tcPr>
          <w:p>
            <w:pPr>
              <w:ind w:firstLine="0" w:firstLineChars="0"/>
              <w:jc w:val="center"/>
              <w:rPr>
                <w:rFonts w:cs="Times New Roman"/>
                <w:sz w:val="21"/>
                <w:szCs w:val="21"/>
              </w:rPr>
            </w:pPr>
            <w:r>
              <w:rPr>
                <w:rFonts w:hint="eastAsia"/>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0" w:hRule="atLeast"/>
        </w:trPr>
        <w:tc>
          <w:tcPr>
            <w:tcW w:w="503" w:type="dxa"/>
            <w:vMerge w:val="continue"/>
            <w:vAlign w:val="center"/>
          </w:tcPr>
          <w:p>
            <w:pPr>
              <w:pStyle w:val="16"/>
              <w:adjustRightInd w:val="0"/>
              <w:snapToGrid w:val="0"/>
              <w:spacing w:after="0" w:line="240" w:lineRule="auto"/>
              <w:jc w:val="center"/>
              <w:rPr>
                <w:szCs w:val="21"/>
              </w:rPr>
            </w:pPr>
          </w:p>
        </w:tc>
        <w:tc>
          <w:tcPr>
            <w:tcW w:w="1108" w:type="dxa"/>
            <w:vMerge w:val="continue"/>
            <w:vAlign w:val="center"/>
          </w:tcPr>
          <w:p>
            <w:pPr>
              <w:pStyle w:val="16"/>
              <w:adjustRightInd w:val="0"/>
              <w:snapToGrid w:val="0"/>
              <w:spacing w:after="0" w:line="240" w:lineRule="auto"/>
              <w:jc w:val="center"/>
              <w:rPr>
                <w:szCs w:val="21"/>
              </w:rPr>
            </w:pPr>
          </w:p>
        </w:tc>
        <w:tc>
          <w:tcPr>
            <w:tcW w:w="3044" w:type="dxa"/>
            <w:vAlign w:val="center"/>
          </w:tcPr>
          <w:p>
            <w:pPr>
              <w:spacing w:line="240" w:lineRule="auto"/>
              <w:ind w:firstLine="0" w:firstLineChars="0"/>
              <w:rPr>
                <w:rFonts w:cs="Times New Roman"/>
                <w:sz w:val="21"/>
                <w:szCs w:val="21"/>
              </w:rPr>
            </w:pPr>
            <w:r>
              <w:rPr>
                <w:rFonts w:cs="Times New Roman"/>
                <w:sz w:val="21"/>
                <w:szCs w:val="21"/>
              </w:rPr>
              <w:t>废含油废手套和抹布、清罐废渣、隔油池浮油交由有相应危险废物处理资质单位处理。</w:t>
            </w:r>
          </w:p>
        </w:tc>
        <w:tc>
          <w:tcPr>
            <w:tcW w:w="2621" w:type="dxa"/>
            <w:vAlign w:val="center"/>
          </w:tcPr>
          <w:p>
            <w:pPr>
              <w:spacing w:line="240" w:lineRule="auto"/>
              <w:ind w:firstLine="0" w:firstLineChars="0"/>
              <w:jc w:val="center"/>
              <w:rPr>
                <w:rFonts w:cs="Times New Roman"/>
                <w:sz w:val="21"/>
                <w:szCs w:val="21"/>
              </w:rPr>
            </w:pPr>
            <w:r>
              <w:rPr>
                <w:rFonts w:cs="Times New Roman"/>
                <w:sz w:val="21"/>
                <w:szCs w:val="21"/>
              </w:rPr>
              <w:t>废含油废手套和抹布、清罐废渣、隔油池浮油交由</w:t>
            </w:r>
            <w:r>
              <w:rPr>
                <w:rFonts w:hint="eastAsia" w:cs="Times New Roman"/>
                <w:sz w:val="21"/>
                <w:szCs w:val="21"/>
              </w:rPr>
              <w:t>茂名景胜环保科技有限公司</w:t>
            </w:r>
            <w:r>
              <w:rPr>
                <w:rFonts w:cs="Times New Roman"/>
                <w:sz w:val="21"/>
                <w:szCs w:val="21"/>
              </w:rPr>
              <w:t>处理。</w:t>
            </w:r>
          </w:p>
        </w:tc>
        <w:tc>
          <w:tcPr>
            <w:tcW w:w="1246" w:type="dxa"/>
            <w:vAlign w:val="center"/>
          </w:tcPr>
          <w:p>
            <w:pPr>
              <w:ind w:firstLine="0" w:firstLineChars="0"/>
              <w:jc w:val="center"/>
              <w:rPr>
                <w:rFonts w:cs="Times New Roman"/>
                <w:sz w:val="21"/>
                <w:szCs w:val="21"/>
              </w:rPr>
            </w:pPr>
            <w:r>
              <w:rPr>
                <w:rFonts w:hint="eastAsia"/>
                <w:sz w:val="21"/>
                <w:szCs w:val="21"/>
              </w:rPr>
              <w:t>无变化</w:t>
            </w:r>
          </w:p>
        </w:tc>
      </w:tr>
    </w:tbl>
    <w:p>
      <w:pPr>
        <w:pStyle w:val="35"/>
      </w:pPr>
      <w:bookmarkStart w:id="16" w:name="_Ref102980718"/>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bookmarkEnd w:id="16"/>
      <w:r>
        <w:t xml:space="preserve"> </w:t>
      </w:r>
      <w:r>
        <w:rPr>
          <w:rFonts w:hint="eastAsia"/>
        </w:rPr>
        <w:t>本项目主要生产设备</w:t>
      </w:r>
    </w:p>
    <w:tbl>
      <w:tblPr>
        <w:tblStyle w:val="22"/>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3"/>
        <w:gridCol w:w="1106"/>
        <w:gridCol w:w="1832"/>
        <w:gridCol w:w="1077"/>
        <w:gridCol w:w="1188"/>
        <w:gridCol w:w="1178"/>
        <w:gridCol w:w="15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tblHeader/>
          <w:jc w:val="center"/>
        </w:trPr>
        <w:tc>
          <w:tcPr>
            <w:tcW w:w="603" w:type="dxa"/>
            <w:vAlign w:val="center"/>
          </w:tcPr>
          <w:p>
            <w:pPr>
              <w:spacing w:line="240" w:lineRule="auto"/>
              <w:ind w:firstLine="0" w:firstLineChars="0"/>
              <w:jc w:val="center"/>
              <w:rPr>
                <w:b/>
                <w:bCs/>
                <w:sz w:val="21"/>
                <w:szCs w:val="21"/>
              </w:rPr>
            </w:pPr>
            <w:bookmarkStart w:id="17" w:name="_Hlk145578030"/>
            <w:r>
              <w:rPr>
                <w:b/>
                <w:bCs/>
                <w:sz w:val="21"/>
                <w:szCs w:val="21"/>
              </w:rPr>
              <w:t>序号</w:t>
            </w:r>
          </w:p>
        </w:tc>
        <w:tc>
          <w:tcPr>
            <w:tcW w:w="2938" w:type="dxa"/>
            <w:gridSpan w:val="2"/>
            <w:vAlign w:val="center"/>
          </w:tcPr>
          <w:p>
            <w:pPr>
              <w:spacing w:line="240" w:lineRule="auto"/>
              <w:ind w:firstLine="0" w:firstLineChars="0"/>
              <w:jc w:val="center"/>
              <w:rPr>
                <w:b/>
                <w:bCs/>
                <w:sz w:val="21"/>
                <w:szCs w:val="21"/>
              </w:rPr>
            </w:pPr>
            <w:r>
              <w:rPr>
                <w:b/>
                <w:bCs/>
                <w:sz w:val="21"/>
                <w:szCs w:val="21"/>
              </w:rPr>
              <w:t>名称</w:t>
            </w:r>
          </w:p>
        </w:tc>
        <w:tc>
          <w:tcPr>
            <w:tcW w:w="1077" w:type="dxa"/>
            <w:vAlign w:val="center"/>
          </w:tcPr>
          <w:p>
            <w:pPr>
              <w:spacing w:line="240" w:lineRule="auto"/>
              <w:ind w:firstLine="0" w:firstLineChars="0"/>
              <w:jc w:val="center"/>
              <w:rPr>
                <w:b/>
                <w:bCs/>
                <w:sz w:val="21"/>
                <w:szCs w:val="21"/>
              </w:rPr>
            </w:pPr>
            <w:r>
              <w:rPr>
                <w:b/>
                <w:bCs/>
                <w:sz w:val="21"/>
                <w:szCs w:val="21"/>
              </w:rPr>
              <w:t>规格</w:t>
            </w:r>
          </w:p>
        </w:tc>
        <w:tc>
          <w:tcPr>
            <w:tcW w:w="1188" w:type="dxa"/>
            <w:vAlign w:val="center"/>
          </w:tcPr>
          <w:p>
            <w:pPr>
              <w:spacing w:line="240" w:lineRule="auto"/>
              <w:ind w:firstLine="0" w:firstLineChars="0"/>
              <w:jc w:val="center"/>
              <w:rPr>
                <w:b/>
                <w:bCs/>
                <w:sz w:val="21"/>
                <w:szCs w:val="21"/>
              </w:rPr>
            </w:pPr>
            <w:r>
              <w:rPr>
                <w:rFonts w:hint="eastAsia"/>
                <w:b/>
                <w:bCs/>
                <w:sz w:val="21"/>
                <w:szCs w:val="21"/>
              </w:rPr>
              <w:t>环评数量</w:t>
            </w:r>
          </w:p>
        </w:tc>
        <w:tc>
          <w:tcPr>
            <w:tcW w:w="1178" w:type="dxa"/>
            <w:vAlign w:val="center"/>
          </w:tcPr>
          <w:p>
            <w:pPr>
              <w:spacing w:line="240" w:lineRule="auto"/>
              <w:ind w:firstLine="0" w:firstLineChars="0"/>
              <w:jc w:val="center"/>
              <w:rPr>
                <w:b/>
                <w:bCs/>
                <w:sz w:val="21"/>
                <w:szCs w:val="21"/>
              </w:rPr>
            </w:pPr>
            <w:r>
              <w:rPr>
                <w:rFonts w:hint="eastAsia"/>
                <w:b/>
                <w:bCs/>
                <w:sz w:val="21"/>
                <w:szCs w:val="21"/>
              </w:rPr>
              <w:t>实际数量</w:t>
            </w:r>
          </w:p>
        </w:tc>
        <w:tc>
          <w:tcPr>
            <w:tcW w:w="1538" w:type="dxa"/>
            <w:vAlign w:val="center"/>
          </w:tcPr>
          <w:p>
            <w:pPr>
              <w:spacing w:line="240" w:lineRule="auto"/>
              <w:ind w:firstLine="0" w:firstLineChars="0"/>
              <w:jc w:val="center"/>
              <w:rPr>
                <w:b/>
                <w:bCs/>
                <w:sz w:val="21"/>
                <w:szCs w:val="21"/>
              </w:rPr>
            </w:pPr>
            <w:r>
              <w:rPr>
                <w:rFonts w:hint="eastAsia"/>
                <w:b/>
                <w:bCs/>
                <w:sz w:val="21"/>
                <w:szCs w:val="21"/>
              </w:rPr>
              <w:t>变化情况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603" w:type="dxa"/>
            <w:vAlign w:val="center"/>
          </w:tcPr>
          <w:p>
            <w:pPr>
              <w:spacing w:line="240" w:lineRule="auto"/>
              <w:ind w:firstLine="0" w:firstLineChars="0"/>
              <w:jc w:val="center"/>
              <w:rPr>
                <w:sz w:val="21"/>
                <w:szCs w:val="21"/>
              </w:rPr>
            </w:pPr>
            <w:r>
              <w:rPr>
                <w:sz w:val="21"/>
                <w:szCs w:val="21"/>
              </w:rPr>
              <w:t>1</w:t>
            </w:r>
          </w:p>
        </w:tc>
        <w:tc>
          <w:tcPr>
            <w:tcW w:w="2938" w:type="dxa"/>
            <w:gridSpan w:val="2"/>
            <w:vAlign w:val="center"/>
          </w:tcPr>
          <w:p>
            <w:pPr>
              <w:spacing w:line="240" w:lineRule="auto"/>
              <w:ind w:firstLine="0" w:firstLineChars="0"/>
              <w:jc w:val="center"/>
              <w:rPr>
                <w:sz w:val="21"/>
                <w:szCs w:val="21"/>
              </w:rPr>
            </w:pPr>
            <w:r>
              <w:rPr>
                <w:bCs/>
                <w:sz w:val="21"/>
                <w:szCs w:val="21"/>
              </w:rPr>
              <w:t>92#汽油</w:t>
            </w:r>
            <w:r>
              <w:rPr>
                <w:rFonts w:hint="eastAsia"/>
                <w:sz w:val="21"/>
                <w:szCs w:val="21"/>
              </w:rPr>
              <w:t>埋地油罐</w:t>
            </w:r>
          </w:p>
        </w:tc>
        <w:tc>
          <w:tcPr>
            <w:tcW w:w="1077" w:type="dxa"/>
            <w:vAlign w:val="center"/>
          </w:tcPr>
          <w:p>
            <w:pPr>
              <w:spacing w:line="240" w:lineRule="auto"/>
              <w:ind w:firstLine="0" w:firstLineChars="0"/>
              <w:jc w:val="center"/>
              <w:rPr>
                <w:sz w:val="21"/>
                <w:szCs w:val="21"/>
              </w:rPr>
            </w:pPr>
            <w:r>
              <w:rPr>
                <w:rFonts w:hint="eastAsia"/>
                <w:sz w:val="21"/>
                <w:szCs w:val="21"/>
              </w:rPr>
              <w:t>4</w:t>
            </w:r>
            <w:r>
              <w:rPr>
                <w:sz w:val="21"/>
                <w:szCs w:val="21"/>
              </w:rPr>
              <w:t>0</w:t>
            </w:r>
            <w:r>
              <w:rPr>
                <w:rFonts w:hint="eastAsia"/>
                <w:sz w:val="21"/>
                <w:szCs w:val="21"/>
              </w:rPr>
              <w:t>m³</w:t>
            </w:r>
          </w:p>
        </w:tc>
        <w:tc>
          <w:tcPr>
            <w:tcW w:w="1188" w:type="dxa"/>
            <w:vAlign w:val="center"/>
          </w:tcPr>
          <w:p>
            <w:pPr>
              <w:spacing w:line="240" w:lineRule="auto"/>
              <w:ind w:firstLine="0" w:firstLineChars="0"/>
              <w:jc w:val="center"/>
              <w:rPr>
                <w:sz w:val="21"/>
                <w:szCs w:val="21"/>
              </w:rPr>
            </w:pPr>
            <w:r>
              <w:rPr>
                <w:rFonts w:hint="eastAsia"/>
                <w:sz w:val="21"/>
                <w:szCs w:val="21"/>
              </w:rPr>
              <w:t>1个</w:t>
            </w:r>
          </w:p>
        </w:tc>
        <w:tc>
          <w:tcPr>
            <w:tcW w:w="1178" w:type="dxa"/>
            <w:vAlign w:val="center"/>
          </w:tcPr>
          <w:p>
            <w:pPr>
              <w:spacing w:line="240" w:lineRule="auto"/>
              <w:ind w:firstLine="0" w:firstLineChars="0"/>
              <w:jc w:val="center"/>
              <w:rPr>
                <w:sz w:val="21"/>
                <w:szCs w:val="21"/>
              </w:rPr>
            </w:pPr>
            <w:r>
              <w:rPr>
                <w:rFonts w:hint="eastAsia"/>
                <w:sz w:val="21"/>
                <w:szCs w:val="21"/>
              </w:rPr>
              <w:t>1个</w:t>
            </w:r>
          </w:p>
        </w:tc>
        <w:tc>
          <w:tcPr>
            <w:tcW w:w="1538" w:type="dxa"/>
            <w:vAlign w:val="center"/>
          </w:tcPr>
          <w:p>
            <w:pPr>
              <w:spacing w:line="240" w:lineRule="auto"/>
              <w:ind w:firstLine="0" w:firstLineChars="0"/>
              <w:jc w:val="center"/>
              <w:rPr>
                <w:sz w:val="21"/>
                <w:szCs w:val="21"/>
              </w:rPr>
            </w:pPr>
            <w:r>
              <w:rPr>
                <w:rFonts w:hint="eastAsia"/>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603" w:type="dxa"/>
            <w:vAlign w:val="center"/>
          </w:tcPr>
          <w:p>
            <w:pPr>
              <w:spacing w:line="240" w:lineRule="auto"/>
              <w:ind w:firstLine="0" w:firstLineChars="0"/>
              <w:jc w:val="center"/>
              <w:rPr>
                <w:sz w:val="21"/>
                <w:szCs w:val="21"/>
              </w:rPr>
            </w:pPr>
            <w:r>
              <w:rPr>
                <w:sz w:val="21"/>
                <w:szCs w:val="21"/>
              </w:rPr>
              <w:t>2</w:t>
            </w:r>
          </w:p>
        </w:tc>
        <w:tc>
          <w:tcPr>
            <w:tcW w:w="2938" w:type="dxa"/>
            <w:gridSpan w:val="2"/>
            <w:vAlign w:val="center"/>
          </w:tcPr>
          <w:p>
            <w:pPr>
              <w:spacing w:line="240" w:lineRule="auto"/>
              <w:ind w:firstLine="0" w:firstLineChars="0"/>
              <w:jc w:val="center"/>
              <w:rPr>
                <w:sz w:val="21"/>
                <w:szCs w:val="21"/>
              </w:rPr>
            </w:pPr>
            <w:r>
              <w:rPr>
                <w:bCs/>
                <w:sz w:val="21"/>
                <w:szCs w:val="21"/>
              </w:rPr>
              <w:t>95#汽油</w:t>
            </w:r>
            <w:r>
              <w:rPr>
                <w:rFonts w:hint="eastAsia"/>
                <w:sz w:val="21"/>
                <w:szCs w:val="21"/>
              </w:rPr>
              <w:t>埋地油罐</w:t>
            </w:r>
          </w:p>
        </w:tc>
        <w:tc>
          <w:tcPr>
            <w:tcW w:w="1077" w:type="dxa"/>
            <w:vAlign w:val="center"/>
          </w:tcPr>
          <w:p>
            <w:pPr>
              <w:spacing w:line="240" w:lineRule="auto"/>
              <w:ind w:firstLine="0" w:firstLineChars="0"/>
              <w:jc w:val="center"/>
              <w:rPr>
                <w:sz w:val="21"/>
                <w:szCs w:val="21"/>
              </w:rPr>
            </w:pPr>
            <w:r>
              <w:rPr>
                <w:rFonts w:hint="eastAsia"/>
                <w:sz w:val="21"/>
                <w:szCs w:val="21"/>
              </w:rPr>
              <w:t>5</w:t>
            </w:r>
            <w:r>
              <w:rPr>
                <w:sz w:val="21"/>
                <w:szCs w:val="21"/>
              </w:rPr>
              <w:t>0</w:t>
            </w:r>
            <w:r>
              <w:rPr>
                <w:rFonts w:hint="eastAsia"/>
                <w:sz w:val="21"/>
                <w:szCs w:val="21"/>
              </w:rPr>
              <w:t>m³</w:t>
            </w:r>
          </w:p>
        </w:tc>
        <w:tc>
          <w:tcPr>
            <w:tcW w:w="1188" w:type="dxa"/>
            <w:vAlign w:val="center"/>
          </w:tcPr>
          <w:p>
            <w:pPr>
              <w:spacing w:line="240" w:lineRule="auto"/>
              <w:ind w:firstLine="0" w:firstLineChars="0"/>
              <w:jc w:val="center"/>
              <w:rPr>
                <w:sz w:val="21"/>
                <w:szCs w:val="21"/>
              </w:rPr>
            </w:pPr>
            <w:r>
              <w:rPr>
                <w:rFonts w:hint="eastAsia"/>
                <w:sz w:val="21"/>
                <w:szCs w:val="21"/>
              </w:rPr>
              <w:t>1个</w:t>
            </w:r>
          </w:p>
        </w:tc>
        <w:tc>
          <w:tcPr>
            <w:tcW w:w="1178" w:type="dxa"/>
            <w:vAlign w:val="center"/>
          </w:tcPr>
          <w:p>
            <w:pPr>
              <w:spacing w:line="240" w:lineRule="auto"/>
              <w:ind w:firstLine="0" w:firstLineChars="0"/>
              <w:jc w:val="center"/>
              <w:rPr>
                <w:sz w:val="21"/>
                <w:szCs w:val="21"/>
              </w:rPr>
            </w:pPr>
            <w:r>
              <w:rPr>
                <w:rFonts w:hint="eastAsia"/>
                <w:sz w:val="21"/>
                <w:szCs w:val="21"/>
              </w:rPr>
              <w:t>1个</w:t>
            </w:r>
          </w:p>
        </w:tc>
        <w:tc>
          <w:tcPr>
            <w:tcW w:w="1538" w:type="dxa"/>
            <w:vAlign w:val="center"/>
          </w:tcPr>
          <w:p>
            <w:pPr>
              <w:spacing w:line="240" w:lineRule="auto"/>
              <w:ind w:firstLine="0" w:firstLineChars="0"/>
              <w:jc w:val="center"/>
              <w:rPr>
                <w:sz w:val="21"/>
                <w:szCs w:val="21"/>
              </w:rPr>
            </w:pPr>
            <w:r>
              <w:rPr>
                <w:rFonts w:hint="eastAsia"/>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603" w:type="dxa"/>
            <w:vAlign w:val="center"/>
          </w:tcPr>
          <w:p>
            <w:pPr>
              <w:spacing w:line="240" w:lineRule="auto"/>
              <w:ind w:firstLine="0" w:firstLineChars="0"/>
              <w:jc w:val="center"/>
              <w:rPr>
                <w:sz w:val="21"/>
                <w:szCs w:val="21"/>
              </w:rPr>
            </w:pPr>
            <w:r>
              <w:rPr>
                <w:sz w:val="21"/>
                <w:szCs w:val="21"/>
              </w:rPr>
              <w:t>3</w:t>
            </w:r>
          </w:p>
        </w:tc>
        <w:tc>
          <w:tcPr>
            <w:tcW w:w="2938" w:type="dxa"/>
            <w:gridSpan w:val="2"/>
            <w:vAlign w:val="center"/>
          </w:tcPr>
          <w:p>
            <w:pPr>
              <w:spacing w:line="240" w:lineRule="auto"/>
              <w:ind w:firstLine="0" w:firstLineChars="0"/>
              <w:jc w:val="center"/>
              <w:rPr>
                <w:sz w:val="21"/>
                <w:szCs w:val="21"/>
              </w:rPr>
            </w:pPr>
            <w:r>
              <w:rPr>
                <w:bCs/>
                <w:sz w:val="21"/>
                <w:szCs w:val="21"/>
              </w:rPr>
              <w:t>98#汽油</w:t>
            </w:r>
            <w:r>
              <w:rPr>
                <w:rFonts w:hint="eastAsia"/>
                <w:sz w:val="21"/>
                <w:szCs w:val="21"/>
              </w:rPr>
              <w:t>埋地油罐</w:t>
            </w:r>
          </w:p>
        </w:tc>
        <w:tc>
          <w:tcPr>
            <w:tcW w:w="1077" w:type="dxa"/>
            <w:vAlign w:val="center"/>
          </w:tcPr>
          <w:p>
            <w:pPr>
              <w:spacing w:line="240" w:lineRule="auto"/>
              <w:ind w:firstLine="0" w:firstLineChars="0"/>
              <w:jc w:val="center"/>
              <w:rPr>
                <w:sz w:val="21"/>
                <w:szCs w:val="21"/>
              </w:rPr>
            </w:pPr>
            <w:r>
              <w:rPr>
                <w:rFonts w:hint="eastAsia"/>
                <w:sz w:val="21"/>
                <w:szCs w:val="21"/>
              </w:rPr>
              <w:t>3</w:t>
            </w:r>
            <w:r>
              <w:rPr>
                <w:sz w:val="21"/>
                <w:szCs w:val="21"/>
              </w:rPr>
              <w:t>0</w:t>
            </w:r>
            <w:r>
              <w:rPr>
                <w:rFonts w:hint="eastAsia"/>
                <w:sz w:val="21"/>
                <w:szCs w:val="21"/>
              </w:rPr>
              <w:t>m³</w:t>
            </w:r>
          </w:p>
        </w:tc>
        <w:tc>
          <w:tcPr>
            <w:tcW w:w="1188" w:type="dxa"/>
            <w:vAlign w:val="center"/>
          </w:tcPr>
          <w:p>
            <w:pPr>
              <w:spacing w:line="240" w:lineRule="auto"/>
              <w:ind w:firstLine="0" w:firstLineChars="0"/>
              <w:jc w:val="center"/>
              <w:rPr>
                <w:sz w:val="21"/>
                <w:szCs w:val="21"/>
              </w:rPr>
            </w:pPr>
            <w:r>
              <w:rPr>
                <w:rFonts w:hint="eastAsia"/>
                <w:sz w:val="21"/>
                <w:szCs w:val="21"/>
              </w:rPr>
              <w:t>1个</w:t>
            </w:r>
          </w:p>
        </w:tc>
        <w:tc>
          <w:tcPr>
            <w:tcW w:w="1178" w:type="dxa"/>
            <w:vAlign w:val="center"/>
          </w:tcPr>
          <w:p>
            <w:pPr>
              <w:spacing w:line="240" w:lineRule="auto"/>
              <w:ind w:firstLine="0" w:firstLineChars="0"/>
              <w:jc w:val="center"/>
              <w:rPr>
                <w:sz w:val="21"/>
                <w:szCs w:val="21"/>
              </w:rPr>
            </w:pPr>
            <w:r>
              <w:rPr>
                <w:rFonts w:hint="eastAsia"/>
                <w:sz w:val="21"/>
                <w:szCs w:val="21"/>
              </w:rPr>
              <w:t>1个</w:t>
            </w:r>
          </w:p>
        </w:tc>
        <w:tc>
          <w:tcPr>
            <w:tcW w:w="1538" w:type="dxa"/>
            <w:vAlign w:val="center"/>
          </w:tcPr>
          <w:p>
            <w:pPr>
              <w:spacing w:line="240" w:lineRule="auto"/>
              <w:ind w:firstLine="0" w:firstLineChars="0"/>
              <w:jc w:val="center"/>
              <w:rPr>
                <w:sz w:val="21"/>
                <w:szCs w:val="21"/>
              </w:rPr>
            </w:pPr>
            <w:r>
              <w:rPr>
                <w:rFonts w:hint="eastAsia"/>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603" w:type="dxa"/>
            <w:vAlign w:val="center"/>
          </w:tcPr>
          <w:p>
            <w:pPr>
              <w:spacing w:line="240" w:lineRule="auto"/>
              <w:ind w:firstLine="0" w:firstLineChars="0"/>
              <w:jc w:val="center"/>
              <w:rPr>
                <w:sz w:val="21"/>
                <w:szCs w:val="21"/>
              </w:rPr>
            </w:pPr>
            <w:r>
              <w:rPr>
                <w:sz w:val="21"/>
                <w:szCs w:val="21"/>
              </w:rPr>
              <w:t>4</w:t>
            </w:r>
          </w:p>
        </w:tc>
        <w:tc>
          <w:tcPr>
            <w:tcW w:w="2938" w:type="dxa"/>
            <w:gridSpan w:val="2"/>
            <w:vAlign w:val="center"/>
          </w:tcPr>
          <w:p>
            <w:pPr>
              <w:spacing w:line="240" w:lineRule="auto"/>
              <w:ind w:firstLine="0" w:firstLineChars="0"/>
              <w:jc w:val="center"/>
              <w:rPr>
                <w:sz w:val="21"/>
                <w:szCs w:val="21"/>
              </w:rPr>
            </w:pPr>
            <w:r>
              <w:rPr>
                <w:bCs/>
                <w:sz w:val="21"/>
                <w:szCs w:val="21"/>
              </w:rPr>
              <w:t>0#柴油</w:t>
            </w:r>
            <w:r>
              <w:rPr>
                <w:rFonts w:hint="eastAsia"/>
                <w:sz w:val="21"/>
                <w:szCs w:val="21"/>
              </w:rPr>
              <w:t>埋地油罐</w:t>
            </w:r>
          </w:p>
        </w:tc>
        <w:tc>
          <w:tcPr>
            <w:tcW w:w="1077" w:type="dxa"/>
            <w:vAlign w:val="center"/>
          </w:tcPr>
          <w:p>
            <w:pPr>
              <w:spacing w:line="240" w:lineRule="auto"/>
              <w:ind w:firstLine="0" w:firstLineChars="0"/>
              <w:jc w:val="center"/>
              <w:rPr>
                <w:sz w:val="21"/>
                <w:szCs w:val="21"/>
              </w:rPr>
            </w:pPr>
            <w:r>
              <w:rPr>
                <w:rFonts w:hint="eastAsia"/>
                <w:sz w:val="21"/>
                <w:szCs w:val="21"/>
              </w:rPr>
              <w:t>5</w:t>
            </w:r>
            <w:r>
              <w:rPr>
                <w:sz w:val="21"/>
                <w:szCs w:val="21"/>
              </w:rPr>
              <w:t>0</w:t>
            </w:r>
            <w:r>
              <w:rPr>
                <w:rFonts w:hint="eastAsia"/>
                <w:sz w:val="21"/>
                <w:szCs w:val="21"/>
              </w:rPr>
              <w:t>m³</w:t>
            </w:r>
          </w:p>
        </w:tc>
        <w:tc>
          <w:tcPr>
            <w:tcW w:w="1188" w:type="dxa"/>
            <w:vAlign w:val="center"/>
          </w:tcPr>
          <w:p>
            <w:pPr>
              <w:spacing w:line="240" w:lineRule="auto"/>
              <w:ind w:firstLine="0" w:firstLineChars="0"/>
              <w:jc w:val="center"/>
              <w:rPr>
                <w:sz w:val="21"/>
                <w:szCs w:val="21"/>
              </w:rPr>
            </w:pPr>
            <w:r>
              <w:rPr>
                <w:rFonts w:hint="eastAsia"/>
                <w:sz w:val="21"/>
                <w:szCs w:val="21"/>
              </w:rPr>
              <w:t>1个</w:t>
            </w:r>
          </w:p>
        </w:tc>
        <w:tc>
          <w:tcPr>
            <w:tcW w:w="1178" w:type="dxa"/>
            <w:vAlign w:val="center"/>
          </w:tcPr>
          <w:p>
            <w:pPr>
              <w:spacing w:line="240" w:lineRule="auto"/>
              <w:ind w:firstLine="0" w:firstLineChars="0"/>
              <w:jc w:val="center"/>
              <w:rPr>
                <w:sz w:val="21"/>
                <w:szCs w:val="21"/>
              </w:rPr>
            </w:pPr>
            <w:r>
              <w:rPr>
                <w:rFonts w:hint="eastAsia"/>
                <w:sz w:val="21"/>
                <w:szCs w:val="21"/>
              </w:rPr>
              <w:t>1个</w:t>
            </w:r>
          </w:p>
        </w:tc>
        <w:tc>
          <w:tcPr>
            <w:tcW w:w="1538" w:type="dxa"/>
            <w:vAlign w:val="center"/>
          </w:tcPr>
          <w:p>
            <w:pPr>
              <w:spacing w:line="240" w:lineRule="auto"/>
              <w:ind w:firstLine="0" w:firstLineChars="0"/>
              <w:jc w:val="center"/>
              <w:rPr>
                <w:sz w:val="21"/>
                <w:szCs w:val="21"/>
              </w:rPr>
            </w:pPr>
            <w:r>
              <w:rPr>
                <w:rFonts w:hint="eastAsia"/>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603" w:type="dxa"/>
            <w:vAlign w:val="center"/>
          </w:tcPr>
          <w:p>
            <w:pPr>
              <w:spacing w:line="240" w:lineRule="auto"/>
              <w:ind w:firstLine="0" w:firstLineChars="0"/>
              <w:jc w:val="center"/>
              <w:rPr>
                <w:sz w:val="21"/>
                <w:szCs w:val="21"/>
              </w:rPr>
            </w:pPr>
            <w:r>
              <w:rPr>
                <w:sz w:val="21"/>
                <w:szCs w:val="21"/>
              </w:rPr>
              <w:t>5</w:t>
            </w:r>
          </w:p>
        </w:tc>
        <w:tc>
          <w:tcPr>
            <w:tcW w:w="2938" w:type="dxa"/>
            <w:gridSpan w:val="2"/>
            <w:vAlign w:val="center"/>
          </w:tcPr>
          <w:p>
            <w:pPr>
              <w:spacing w:line="240" w:lineRule="auto"/>
              <w:ind w:firstLine="0" w:firstLineChars="0"/>
              <w:jc w:val="center"/>
              <w:rPr>
                <w:sz w:val="21"/>
                <w:szCs w:val="21"/>
              </w:rPr>
            </w:pPr>
            <w:r>
              <w:rPr>
                <w:rFonts w:hint="eastAsia"/>
                <w:sz w:val="21"/>
                <w:szCs w:val="21"/>
              </w:rPr>
              <w:t>加油机</w:t>
            </w:r>
          </w:p>
        </w:tc>
        <w:tc>
          <w:tcPr>
            <w:tcW w:w="1077" w:type="dxa"/>
            <w:vAlign w:val="center"/>
          </w:tcPr>
          <w:p>
            <w:pPr>
              <w:spacing w:line="240" w:lineRule="auto"/>
              <w:ind w:firstLine="0" w:firstLineChars="0"/>
              <w:jc w:val="center"/>
              <w:rPr>
                <w:sz w:val="21"/>
                <w:szCs w:val="21"/>
              </w:rPr>
            </w:pPr>
            <w:r>
              <w:rPr>
                <w:rFonts w:hint="eastAsia"/>
                <w:sz w:val="21"/>
                <w:szCs w:val="21"/>
              </w:rPr>
              <w:t>6枪3品</w:t>
            </w:r>
          </w:p>
        </w:tc>
        <w:tc>
          <w:tcPr>
            <w:tcW w:w="1188" w:type="dxa"/>
            <w:vAlign w:val="center"/>
          </w:tcPr>
          <w:p>
            <w:pPr>
              <w:spacing w:line="240" w:lineRule="auto"/>
              <w:ind w:firstLine="0" w:firstLineChars="0"/>
              <w:jc w:val="center"/>
              <w:rPr>
                <w:sz w:val="21"/>
                <w:szCs w:val="21"/>
              </w:rPr>
            </w:pPr>
            <w:r>
              <w:rPr>
                <w:rFonts w:hint="eastAsia"/>
                <w:sz w:val="21"/>
                <w:szCs w:val="21"/>
              </w:rPr>
              <w:t>6台</w:t>
            </w:r>
          </w:p>
        </w:tc>
        <w:tc>
          <w:tcPr>
            <w:tcW w:w="1178" w:type="dxa"/>
            <w:vAlign w:val="center"/>
          </w:tcPr>
          <w:p>
            <w:pPr>
              <w:spacing w:line="240" w:lineRule="auto"/>
              <w:ind w:firstLine="0" w:firstLineChars="0"/>
              <w:jc w:val="center"/>
              <w:rPr>
                <w:sz w:val="21"/>
                <w:szCs w:val="21"/>
              </w:rPr>
            </w:pPr>
            <w:r>
              <w:rPr>
                <w:rFonts w:hint="eastAsia"/>
                <w:sz w:val="21"/>
                <w:szCs w:val="21"/>
              </w:rPr>
              <w:t>6台</w:t>
            </w:r>
          </w:p>
        </w:tc>
        <w:tc>
          <w:tcPr>
            <w:tcW w:w="1538" w:type="dxa"/>
            <w:vAlign w:val="center"/>
          </w:tcPr>
          <w:p>
            <w:pPr>
              <w:spacing w:line="240" w:lineRule="auto"/>
              <w:ind w:firstLine="0" w:firstLineChars="0"/>
              <w:jc w:val="center"/>
              <w:rPr>
                <w:sz w:val="21"/>
                <w:szCs w:val="21"/>
              </w:rPr>
            </w:pPr>
            <w:r>
              <w:rPr>
                <w:rFonts w:hint="eastAsia"/>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603" w:type="dxa"/>
            <w:vAlign w:val="center"/>
          </w:tcPr>
          <w:p>
            <w:pPr>
              <w:spacing w:line="240" w:lineRule="auto"/>
              <w:ind w:firstLine="0" w:firstLineChars="0"/>
              <w:jc w:val="center"/>
              <w:rPr>
                <w:sz w:val="21"/>
                <w:szCs w:val="21"/>
              </w:rPr>
            </w:pPr>
            <w:r>
              <w:rPr>
                <w:sz w:val="21"/>
                <w:szCs w:val="21"/>
              </w:rPr>
              <w:t>6</w:t>
            </w:r>
          </w:p>
        </w:tc>
        <w:tc>
          <w:tcPr>
            <w:tcW w:w="2938" w:type="dxa"/>
            <w:gridSpan w:val="2"/>
            <w:vAlign w:val="center"/>
          </w:tcPr>
          <w:p>
            <w:pPr>
              <w:spacing w:line="240" w:lineRule="auto"/>
              <w:ind w:firstLine="0" w:firstLineChars="0"/>
              <w:jc w:val="center"/>
              <w:rPr>
                <w:sz w:val="21"/>
                <w:szCs w:val="21"/>
              </w:rPr>
            </w:pPr>
            <w:r>
              <w:rPr>
                <w:rFonts w:hint="eastAsia"/>
                <w:sz w:val="21"/>
                <w:szCs w:val="21"/>
              </w:rPr>
              <w:t>潜油泵</w:t>
            </w:r>
          </w:p>
        </w:tc>
        <w:tc>
          <w:tcPr>
            <w:tcW w:w="1077" w:type="dxa"/>
            <w:vAlign w:val="center"/>
          </w:tcPr>
          <w:p>
            <w:pPr>
              <w:spacing w:line="240" w:lineRule="auto"/>
              <w:ind w:firstLine="0" w:firstLineChars="0"/>
              <w:jc w:val="center"/>
              <w:rPr>
                <w:sz w:val="21"/>
                <w:szCs w:val="21"/>
              </w:rPr>
            </w:pPr>
            <w:r>
              <w:rPr>
                <w:rFonts w:hint="eastAsia"/>
                <w:sz w:val="21"/>
                <w:szCs w:val="21"/>
              </w:rPr>
              <w:t>-</w:t>
            </w:r>
            <w:r>
              <w:rPr>
                <w:sz w:val="21"/>
                <w:szCs w:val="21"/>
              </w:rPr>
              <w:t>-</w:t>
            </w:r>
          </w:p>
        </w:tc>
        <w:tc>
          <w:tcPr>
            <w:tcW w:w="1188" w:type="dxa"/>
            <w:vAlign w:val="center"/>
          </w:tcPr>
          <w:p>
            <w:pPr>
              <w:spacing w:line="240" w:lineRule="auto"/>
              <w:ind w:firstLine="0" w:firstLineChars="0"/>
              <w:jc w:val="center"/>
              <w:rPr>
                <w:sz w:val="21"/>
                <w:szCs w:val="21"/>
              </w:rPr>
            </w:pPr>
            <w:r>
              <w:rPr>
                <w:rFonts w:hint="eastAsia"/>
                <w:sz w:val="21"/>
                <w:szCs w:val="21"/>
              </w:rPr>
              <w:t>4台</w:t>
            </w:r>
          </w:p>
        </w:tc>
        <w:tc>
          <w:tcPr>
            <w:tcW w:w="1178" w:type="dxa"/>
            <w:vAlign w:val="center"/>
          </w:tcPr>
          <w:p>
            <w:pPr>
              <w:spacing w:line="240" w:lineRule="auto"/>
              <w:ind w:firstLine="0" w:firstLineChars="0"/>
              <w:jc w:val="center"/>
              <w:rPr>
                <w:sz w:val="21"/>
                <w:szCs w:val="21"/>
              </w:rPr>
            </w:pPr>
            <w:r>
              <w:rPr>
                <w:rFonts w:hint="eastAsia"/>
                <w:sz w:val="21"/>
                <w:szCs w:val="21"/>
              </w:rPr>
              <w:t>4台</w:t>
            </w:r>
          </w:p>
        </w:tc>
        <w:tc>
          <w:tcPr>
            <w:tcW w:w="1538" w:type="dxa"/>
            <w:vAlign w:val="center"/>
          </w:tcPr>
          <w:p>
            <w:pPr>
              <w:spacing w:line="240" w:lineRule="auto"/>
              <w:ind w:firstLine="0" w:firstLineChars="0"/>
              <w:jc w:val="center"/>
              <w:rPr>
                <w:sz w:val="21"/>
                <w:szCs w:val="21"/>
              </w:rPr>
            </w:pPr>
            <w:r>
              <w:rPr>
                <w:rFonts w:hint="eastAsia"/>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603" w:type="dxa"/>
            <w:vMerge w:val="restart"/>
            <w:vAlign w:val="center"/>
          </w:tcPr>
          <w:p>
            <w:pPr>
              <w:spacing w:line="240" w:lineRule="auto"/>
              <w:ind w:firstLine="0" w:firstLineChars="0"/>
              <w:jc w:val="center"/>
              <w:rPr>
                <w:sz w:val="21"/>
                <w:szCs w:val="21"/>
              </w:rPr>
            </w:pPr>
            <w:r>
              <w:rPr>
                <w:rFonts w:hint="eastAsia"/>
                <w:sz w:val="21"/>
                <w:szCs w:val="21"/>
              </w:rPr>
              <w:t>7</w:t>
            </w:r>
          </w:p>
        </w:tc>
        <w:tc>
          <w:tcPr>
            <w:tcW w:w="1106" w:type="dxa"/>
            <w:vMerge w:val="restart"/>
            <w:vAlign w:val="center"/>
          </w:tcPr>
          <w:p>
            <w:pPr>
              <w:spacing w:line="240" w:lineRule="auto"/>
              <w:ind w:firstLine="0" w:firstLineChars="0"/>
              <w:jc w:val="center"/>
              <w:rPr>
                <w:sz w:val="21"/>
                <w:szCs w:val="21"/>
              </w:rPr>
            </w:pPr>
            <w:r>
              <w:rPr>
                <w:rFonts w:hint="eastAsia"/>
                <w:sz w:val="21"/>
                <w:szCs w:val="21"/>
              </w:rPr>
              <w:t>三次油气回收系统</w:t>
            </w:r>
          </w:p>
        </w:tc>
        <w:tc>
          <w:tcPr>
            <w:tcW w:w="1832" w:type="dxa"/>
            <w:vAlign w:val="center"/>
          </w:tcPr>
          <w:p>
            <w:pPr>
              <w:spacing w:line="240" w:lineRule="auto"/>
              <w:ind w:firstLine="0" w:firstLineChars="0"/>
              <w:jc w:val="center"/>
              <w:rPr>
                <w:sz w:val="21"/>
                <w:szCs w:val="21"/>
              </w:rPr>
            </w:pPr>
            <w:r>
              <w:rPr>
                <w:rFonts w:hint="eastAsia"/>
                <w:sz w:val="21"/>
                <w:szCs w:val="21"/>
              </w:rPr>
              <w:t>卸油油气回收</w:t>
            </w:r>
          </w:p>
        </w:tc>
        <w:tc>
          <w:tcPr>
            <w:tcW w:w="1077" w:type="dxa"/>
            <w:vAlign w:val="center"/>
          </w:tcPr>
          <w:p>
            <w:pPr>
              <w:spacing w:line="240" w:lineRule="auto"/>
              <w:ind w:firstLine="0" w:firstLineChars="0"/>
              <w:jc w:val="center"/>
              <w:rPr>
                <w:sz w:val="21"/>
                <w:szCs w:val="21"/>
              </w:rPr>
            </w:pPr>
            <w:r>
              <w:rPr>
                <w:rFonts w:hint="eastAsia"/>
                <w:sz w:val="21"/>
                <w:szCs w:val="21"/>
              </w:rPr>
              <w:t>-</w:t>
            </w:r>
            <w:r>
              <w:rPr>
                <w:sz w:val="21"/>
                <w:szCs w:val="21"/>
              </w:rPr>
              <w:t>-</w:t>
            </w:r>
          </w:p>
        </w:tc>
        <w:tc>
          <w:tcPr>
            <w:tcW w:w="1188" w:type="dxa"/>
            <w:vAlign w:val="center"/>
          </w:tcPr>
          <w:p>
            <w:pPr>
              <w:spacing w:line="240" w:lineRule="auto"/>
              <w:ind w:firstLine="0" w:firstLineChars="0"/>
              <w:jc w:val="center"/>
              <w:rPr>
                <w:sz w:val="21"/>
                <w:szCs w:val="21"/>
              </w:rPr>
            </w:pPr>
            <w:r>
              <w:rPr>
                <w:rFonts w:hint="eastAsia"/>
                <w:sz w:val="21"/>
                <w:szCs w:val="21"/>
              </w:rPr>
              <w:t>1套</w:t>
            </w:r>
          </w:p>
        </w:tc>
        <w:tc>
          <w:tcPr>
            <w:tcW w:w="1178" w:type="dxa"/>
            <w:vAlign w:val="center"/>
          </w:tcPr>
          <w:p>
            <w:pPr>
              <w:spacing w:line="240" w:lineRule="auto"/>
              <w:ind w:firstLine="0" w:firstLineChars="0"/>
              <w:jc w:val="center"/>
              <w:rPr>
                <w:sz w:val="21"/>
                <w:szCs w:val="21"/>
              </w:rPr>
            </w:pPr>
            <w:r>
              <w:rPr>
                <w:rFonts w:hint="eastAsia"/>
                <w:sz w:val="21"/>
                <w:szCs w:val="21"/>
              </w:rPr>
              <w:t>1套</w:t>
            </w:r>
          </w:p>
        </w:tc>
        <w:tc>
          <w:tcPr>
            <w:tcW w:w="1538" w:type="dxa"/>
            <w:vAlign w:val="center"/>
          </w:tcPr>
          <w:p>
            <w:pPr>
              <w:spacing w:line="240" w:lineRule="auto"/>
              <w:ind w:firstLine="0" w:firstLineChars="0"/>
              <w:jc w:val="center"/>
              <w:rPr>
                <w:sz w:val="21"/>
                <w:szCs w:val="21"/>
              </w:rPr>
            </w:pPr>
            <w:r>
              <w:rPr>
                <w:rFonts w:hint="eastAsia"/>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603" w:type="dxa"/>
            <w:vMerge w:val="continue"/>
            <w:vAlign w:val="center"/>
          </w:tcPr>
          <w:p>
            <w:pPr>
              <w:spacing w:line="240" w:lineRule="auto"/>
              <w:ind w:firstLine="0" w:firstLineChars="0"/>
              <w:jc w:val="center"/>
              <w:rPr>
                <w:sz w:val="21"/>
                <w:szCs w:val="21"/>
              </w:rPr>
            </w:pPr>
          </w:p>
        </w:tc>
        <w:tc>
          <w:tcPr>
            <w:tcW w:w="1106" w:type="dxa"/>
            <w:vMerge w:val="continue"/>
            <w:vAlign w:val="center"/>
          </w:tcPr>
          <w:p>
            <w:pPr>
              <w:widowControl/>
              <w:spacing w:line="240" w:lineRule="auto"/>
              <w:ind w:firstLine="0" w:firstLineChars="0"/>
              <w:jc w:val="center"/>
              <w:rPr>
                <w:sz w:val="21"/>
                <w:szCs w:val="21"/>
              </w:rPr>
            </w:pPr>
          </w:p>
        </w:tc>
        <w:tc>
          <w:tcPr>
            <w:tcW w:w="1832" w:type="dxa"/>
            <w:vAlign w:val="center"/>
          </w:tcPr>
          <w:p>
            <w:pPr>
              <w:spacing w:line="240" w:lineRule="auto"/>
              <w:ind w:firstLine="0" w:firstLineChars="0"/>
              <w:jc w:val="center"/>
              <w:rPr>
                <w:sz w:val="21"/>
                <w:szCs w:val="21"/>
              </w:rPr>
            </w:pPr>
            <w:r>
              <w:rPr>
                <w:rFonts w:hint="eastAsia"/>
                <w:sz w:val="21"/>
                <w:szCs w:val="21"/>
              </w:rPr>
              <w:t>加油油气回收</w:t>
            </w:r>
          </w:p>
        </w:tc>
        <w:tc>
          <w:tcPr>
            <w:tcW w:w="1077" w:type="dxa"/>
            <w:vAlign w:val="center"/>
          </w:tcPr>
          <w:p>
            <w:pPr>
              <w:widowControl/>
              <w:spacing w:line="240" w:lineRule="auto"/>
              <w:ind w:firstLine="0" w:firstLineChars="0"/>
              <w:jc w:val="center"/>
              <w:rPr>
                <w:sz w:val="21"/>
                <w:szCs w:val="21"/>
              </w:rPr>
            </w:pPr>
            <w:r>
              <w:rPr>
                <w:rFonts w:hint="eastAsia"/>
                <w:sz w:val="21"/>
                <w:szCs w:val="21"/>
              </w:rPr>
              <w:t>-</w:t>
            </w:r>
            <w:r>
              <w:rPr>
                <w:sz w:val="21"/>
                <w:szCs w:val="21"/>
              </w:rPr>
              <w:t>-</w:t>
            </w:r>
          </w:p>
        </w:tc>
        <w:tc>
          <w:tcPr>
            <w:tcW w:w="1188" w:type="dxa"/>
            <w:vAlign w:val="center"/>
          </w:tcPr>
          <w:p>
            <w:pPr>
              <w:spacing w:line="240" w:lineRule="auto"/>
              <w:ind w:firstLine="0" w:firstLineChars="0"/>
              <w:jc w:val="center"/>
              <w:rPr>
                <w:sz w:val="21"/>
                <w:szCs w:val="21"/>
              </w:rPr>
            </w:pPr>
            <w:r>
              <w:rPr>
                <w:rFonts w:hint="eastAsia"/>
                <w:sz w:val="21"/>
                <w:szCs w:val="21"/>
              </w:rPr>
              <w:t>6套</w:t>
            </w:r>
          </w:p>
        </w:tc>
        <w:tc>
          <w:tcPr>
            <w:tcW w:w="1178" w:type="dxa"/>
            <w:vAlign w:val="center"/>
          </w:tcPr>
          <w:p>
            <w:pPr>
              <w:spacing w:line="240" w:lineRule="auto"/>
              <w:ind w:firstLine="0" w:firstLineChars="0"/>
              <w:jc w:val="center"/>
              <w:rPr>
                <w:sz w:val="21"/>
                <w:szCs w:val="21"/>
              </w:rPr>
            </w:pPr>
            <w:r>
              <w:rPr>
                <w:rFonts w:hint="eastAsia"/>
                <w:sz w:val="21"/>
                <w:szCs w:val="21"/>
              </w:rPr>
              <w:t>6套</w:t>
            </w:r>
          </w:p>
        </w:tc>
        <w:tc>
          <w:tcPr>
            <w:tcW w:w="1538" w:type="dxa"/>
            <w:vAlign w:val="center"/>
          </w:tcPr>
          <w:p>
            <w:pPr>
              <w:spacing w:line="240" w:lineRule="auto"/>
              <w:ind w:firstLine="0" w:firstLineChars="0"/>
              <w:jc w:val="center"/>
              <w:rPr>
                <w:sz w:val="21"/>
                <w:szCs w:val="21"/>
              </w:rPr>
            </w:pPr>
            <w:r>
              <w:rPr>
                <w:rFonts w:hint="eastAsia"/>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603" w:type="dxa"/>
            <w:vMerge w:val="continue"/>
            <w:vAlign w:val="center"/>
          </w:tcPr>
          <w:p>
            <w:pPr>
              <w:spacing w:line="240" w:lineRule="auto"/>
              <w:ind w:firstLine="0" w:firstLineChars="0"/>
              <w:jc w:val="center"/>
              <w:rPr>
                <w:sz w:val="21"/>
                <w:szCs w:val="21"/>
              </w:rPr>
            </w:pPr>
          </w:p>
        </w:tc>
        <w:tc>
          <w:tcPr>
            <w:tcW w:w="1106" w:type="dxa"/>
            <w:vMerge w:val="continue"/>
            <w:vAlign w:val="center"/>
          </w:tcPr>
          <w:p>
            <w:pPr>
              <w:widowControl/>
              <w:spacing w:line="240" w:lineRule="auto"/>
              <w:ind w:firstLine="0" w:firstLineChars="0"/>
              <w:jc w:val="center"/>
              <w:rPr>
                <w:sz w:val="21"/>
                <w:szCs w:val="21"/>
              </w:rPr>
            </w:pPr>
          </w:p>
        </w:tc>
        <w:tc>
          <w:tcPr>
            <w:tcW w:w="1832" w:type="dxa"/>
            <w:vAlign w:val="center"/>
          </w:tcPr>
          <w:p>
            <w:pPr>
              <w:spacing w:line="240" w:lineRule="auto"/>
              <w:ind w:firstLine="0" w:firstLineChars="0"/>
              <w:jc w:val="center"/>
              <w:rPr>
                <w:sz w:val="21"/>
                <w:szCs w:val="21"/>
              </w:rPr>
            </w:pPr>
            <w:r>
              <w:rPr>
                <w:rFonts w:hint="eastAsia"/>
                <w:sz w:val="21"/>
                <w:szCs w:val="21"/>
              </w:rPr>
              <w:t>油气回收后处理</w:t>
            </w:r>
          </w:p>
        </w:tc>
        <w:tc>
          <w:tcPr>
            <w:tcW w:w="1077" w:type="dxa"/>
            <w:vAlign w:val="center"/>
          </w:tcPr>
          <w:p>
            <w:pPr>
              <w:widowControl/>
              <w:spacing w:line="240" w:lineRule="auto"/>
              <w:ind w:firstLine="0" w:firstLineChars="0"/>
              <w:jc w:val="center"/>
              <w:rPr>
                <w:sz w:val="21"/>
                <w:szCs w:val="21"/>
              </w:rPr>
            </w:pPr>
            <w:r>
              <w:rPr>
                <w:rFonts w:hint="eastAsia"/>
                <w:sz w:val="21"/>
                <w:szCs w:val="21"/>
              </w:rPr>
              <w:t>-</w:t>
            </w:r>
            <w:r>
              <w:rPr>
                <w:sz w:val="21"/>
                <w:szCs w:val="21"/>
              </w:rPr>
              <w:t>-</w:t>
            </w:r>
          </w:p>
        </w:tc>
        <w:tc>
          <w:tcPr>
            <w:tcW w:w="1188" w:type="dxa"/>
            <w:vAlign w:val="center"/>
          </w:tcPr>
          <w:p>
            <w:pPr>
              <w:spacing w:line="240" w:lineRule="auto"/>
              <w:ind w:firstLine="0" w:firstLineChars="0"/>
              <w:jc w:val="center"/>
              <w:rPr>
                <w:sz w:val="21"/>
                <w:szCs w:val="21"/>
              </w:rPr>
            </w:pPr>
            <w:r>
              <w:rPr>
                <w:rFonts w:hint="eastAsia"/>
                <w:sz w:val="21"/>
                <w:szCs w:val="21"/>
              </w:rPr>
              <w:t>1套</w:t>
            </w:r>
          </w:p>
        </w:tc>
        <w:tc>
          <w:tcPr>
            <w:tcW w:w="1178" w:type="dxa"/>
            <w:vAlign w:val="center"/>
          </w:tcPr>
          <w:p>
            <w:pPr>
              <w:spacing w:line="240" w:lineRule="auto"/>
              <w:ind w:firstLine="0" w:firstLineChars="0"/>
              <w:jc w:val="center"/>
              <w:rPr>
                <w:sz w:val="21"/>
                <w:szCs w:val="21"/>
              </w:rPr>
            </w:pPr>
            <w:r>
              <w:rPr>
                <w:rFonts w:hint="eastAsia"/>
                <w:sz w:val="21"/>
                <w:szCs w:val="21"/>
              </w:rPr>
              <w:t>1套</w:t>
            </w:r>
          </w:p>
        </w:tc>
        <w:tc>
          <w:tcPr>
            <w:tcW w:w="1538" w:type="dxa"/>
            <w:vAlign w:val="center"/>
          </w:tcPr>
          <w:p>
            <w:pPr>
              <w:spacing w:line="240" w:lineRule="auto"/>
              <w:ind w:firstLine="0" w:firstLineChars="0"/>
              <w:jc w:val="center"/>
              <w:rPr>
                <w:sz w:val="21"/>
                <w:szCs w:val="21"/>
              </w:rPr>
            </w:pPr>
            <w:r>
              <w:rPr>
                <w:rFonts w:hint="eastAsia"/>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603" w:type="dxa"/>
            <w:vAlign w:val="center"/>
          </w:tcPr>
          <w:p>
            <w:pPr>
              <w:spacing w:line="240" w:lineRule="auto"/>
              <w:ind w:firstLine="0" w:firstLineChars="0"/>
              <w:jc w:val="center"/>
              <w:rPr>
                <w:sz w:val="21"/>
                <w:szCs w:val="21"/>
              </w:rPr>
            </w:pPr>
            <w:r>
              <w:rPr>
                <w:sz w:val="21"/>
                <w:szCs w:val="21"/>
              </w:rPr>
              <w:t>8</w:t>
            </w:r>
          </w:p>
        </w:tc>
        <w:tc>
          <w:tcPr>
            <w:tcW w:w="2938" w:type="dxa"/>
            <w:gridSpan w:val="2"/>
            <w:vAlign w:val="center"/>
          </w:tcPr>
          <w:p>
            <w:pPr>
              <w:widowControl/>
              <w:spacing w:line="240" w:lineRule="auto"/>
              <w:ind w:firstLine="0" w:firstLineChars="0"/>
              <w:jc w:val="center"/>
              <w:rPr>
                <w:sz w:val="21"/>
                <w:szCs w:val="21"/>
              </w:rPr>
            </w:pPr>
            <w:r>
              <w:rPr>
                <w:rFonts w:hint="eastAsia"/>
                <w:sz w:val="21"/>
                <w:szCs w:val="21"/>
              </w:rPr>
              <w:t>充电车位</w:t>
            </w:r>
          </w:p>
        </w:tc>
        <w:tc>
          <w:tcPr>
            <w:tcW w:w="1077" w:type="dxa"/>
            <w:vAlign w:val="center"/>
          </w:tcPr>
          <w:p>
            <w:pPr>
              <w:widowControl/>
              <w:spacing w:line="240" w:lineRule="auto"/>
              <w:ind w:firstLine="0" w:firstLineChars="0"/>
              <w:jc w:val="center"/>
              <w:rPr>
                <w:sz w:val="21"/>
                <w:szCs w:val="21"/>
              </w:rPr>
            </w:pPr>
            <w:r>
              <w:rPr>
                <w:rFonts w:hint="eastAsia"/>
                <w:sz w:val="21"/>
                <w:szCs w:val="21"/>
              </w:rPr>
              <w:t>-</w:t>
            </w:r>
            <w:r>
              <w:rPr>
                <w:sz w:val="21"/>
                <w:szCs w:val="21"/>
              </w:rPr>
              <w:t>-</w:t>
            </w:r>
          </w:p>
        </w:tc>
        <w:tc>
          <w:tcPr>
            <w:tcW w:w="1188" w:type="dxa"/>
            <w:vAlign w:val="center"/>
          </w:tcPr>
          <w:p>
            <w:pPr>
              <w:spacing w:line="240" w:lineRule="auto"/>
              <w:ind w:firstLine="0" w:firstLineChars="0"/>
              <w:jc w:val="center"/>
              <w:rPr>
                <w:color w:val="auto"/>
                <w:sz w:val="21"/>
                <w:szCs w:val="21"/>
              </w:rPr>
            </w:pPr>
            <w:r>
              <w:rPr>
                <w:rFonts w:hint="eastAsia"/>
                <w:color w:val="auto"/>
                <w:sz w:val="21"/>
                <w:szCs w:val="21"/>
              </w:rPr>
              <w:t>23个</w:t>
            </w:r>
          </w:p>
        </w:tc>
        <w:tc>
          <w:tcPr>
            <w:tcW w:w="1178" w:type="dxa"/>
            <w:vAlign w:val="center"/>
          </w:tcPr>
          <w:p>
            <w:pPr>
              <w:spacing w:line="240" w:lineRule="auto"/>
              <w:ind w:firstLine="0" w:firstLineChars="0"/>
              <w:jc w:val="center"/>
              <w:rPr>
                <w:color w:val="auto"/>
                <w:sz w:val="21"/>
                <w:szCs w:val="21"/>
              </w:rPr>
            </w:pPr>
            <w:r>
              <w:rPr>
                <w:rFonts w:hint="eastAsia"/>
                <w:color w:val="auto"/>
                <w:sz w:val="21"/>
                <w:szCs w:val="21"/>
              </w:rPr>
              <w:t>未建设</w:t>
            </w:r>
          </w:p>
        </w:tc>
        <w:tc>
          <w:tcPr>
            <w:tcW w:w="1538" w:type="dxa"/>
            <w:vAlign w:val="center"/>
          </w:tcPr>
          <w:p>
            <w:pPr>
              <w:spacing w:line="240" w:lineRule="auto"/>
              <w:ind w:firstLine="0" w:firstLineChars="0"/>
              <w:jc w:val="center"/>
              <w:rPr>
                <w:color w:val="auto"/>
                <w:sz w:val="21"/>
                <w:szCs w:val="21"/>
              </w:rPr>
            </w:pPr>
            <w:r>
              <w:rPr>
                <w:rFonts w:hint="eastAsia"/>
                <w:color w:val="auto"/>
                <w:sz w:val="21"/>
                <w:szCs w:val="21"/>
              </w:rPr>
              <w:t>未建设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603" w:type="dxa"/>
            <w:vAlign w:val="center"/>
          </w:tcPr>
          <w:p>
            <w:pPr>
              <w:spacing w:line="240" w:lineRule="auto"/>
              <w:ind w:firstLine="0" w:firstLineChars="0"/>
              <w:jc w:val="center"/>
              <w:rPr>
                <w:sz w:val="21"/>
                <w:szCs w:val="21"/>
              </w:rPr>
            </w:pPr>
            <w:r>
              <w:rPr>
                <w:sz w:val="21"/>
                <w:szCs w:val="21"/>
              </w:rPr>
              <w:t>9</w:t>
            </w:r>
          </w:p>
        </w:tc>
        <w:tc>
          <w:tcPr>
            <w:tcW w:w="2938" w:type="dxa"/>
            <w:gridSpan w:val="2"/>
            <w:vAlign w:val="center"/>
          </w:tcPr>
          <w:p>
            <w:pPr>
              <w:widowControl/>
              <w:spacing w:line="240" w:lineRule="auto"/>
              <w:ind w:firstLine="0" w:firstLineChars="0"/>
              <w:jc w:val="center"/>
              <w:rPr>
                <w:sz w:val="21"/>
                <w:szCs w:val="21"/>
              </w:rPr>
            </w:pPr>
            <w:r>
              <w:rPr>
                <w:rFonts w:hint="eastAsia"/>
                <w:sz w:val="21"/>
                <w:szCs w:val="21"/>
              </w:rPr>
              <w:t>洗车机</w:t>
            </w:r>
          </w:p>
        </w:tc>
        <w:tc>
          <w:tcPr>
            <w:tcW w:w="1077" w:type="dxa"/>
            <w:vAlign w:val="center"/>
          </w:tcPr>
          <w:p>
            <w:pPr>
              <w:widowControl/>
              <w:spacing w:line="240" w:lineRule="auto"/>
              <w:ind w:firstLine="0" w:firstLineChars="0"/>
              <w:jc w:val="center"/>
              <w:rPr>
                <w:sz w:val="21"/>
                <w:szCs w:val="21"/>
              </w:rPr>
            </w:pPr>
            <w:r>
              <w:rPr>
                <w:rFonts w:hint="eastAsia"/>
                <w:sz w:val="21"/>
                <w:szCs w:val="21"/>
              </w:rPr>
              <w:t>-</w:t>
            </w:r>
            <w:r>
              <w:rPr>
                <w:sz w:val="21"/>
                <w:szCs w:val="21"/>
              </w:rPr>
              <w:t>-</w:t>
            </w:r>
          </w:p>
        </w:tc>
        <w:tc>
          <w:tcPr>
            <w:tcW w:w="1188" w:type="dxa"/>
            <w:vAlign w:val="center"/>
          </w:tcPr>
          <w:p>
            <w:pPr>
              <w:spacing w:line="240" w:lineRule="auto"/>
              <w:ind w:firstLine="0" w:firstLineChars="0"/>
              <w:jc w:val="center"/>
              <w:rPr>
                <w:sz w:val="21"/>
                <w:szCs w:val="21"/>
              </w:rPr>
            </w:pPr>
            <w:r>
              <w:rPr>
                <w:rFonts w:hint="eastAsia"/>
                <w:sz w:val="21"/>
                <w:szCs w:val="21"/>
              </w:rPr>
              <w:t>1台</w:t>
            </w:r>
          </w:p>
        </w:tc>
        <w:tc>
          <w:tcPr>
            <w:tcW w:w="1178" w:type="dxa"/>
            <w:vAlign w:val="center"/>
          </w:tcPr>
          <w:p>
            <w:pPr>
              <w:spacing w:line="240" w:lineRule="auto"/>
              <w:ind w:firstLine="0" w:firstLineChars="0"/>
              <w:jc w:val="center"/>
              <w:rPr>
                <w:sz w:val="21"/>
                <w:szCs w:val="21"/>
              </w:rPr>
            </w:pPr>
            <w:r>
              <w:rPr>
                <w:rFonts w:hint="eastAsia"/>
                <w:sz w:val="21"/>
                <w:szCs w:val="21"/>
              </w:rPr>
              <w:t>1台</w:t>
            </w:r>
          </w:p>
        </w:tc>
        <w:tc>
          <w:tcPr>
            <w:tcW w:w="1538" w:type="dxa"/>
            <w:vAlign w:val="center"/>
          </w:tcPr>
          <w:p>
            <w:pPr>
              <w:spacing w:line="240" w:lineRule="auto"/>
              <w:ind w:firstLine="0" w:firstLineChars="0"/>
              <w:jc w:val="center"/>
              <w:rPr>
                <w:sz w:val="21"/>
                <w:szCs w:val="21"/>
              </w:rPr>
            </w:pPr>
            <w:r>
              <w:rPr>
                <w:rFonts w:hint="eastAsia"/>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603" w:type="dxa"/>
            <w:vAlign w:val="center"/>
          </w:tcPr>
          <w:p>
            <w:pPr>
              <w:spacing w:line="240" w:lineRule="auto"/>
              <w:ind w:firstLine="0" w:firstLineChars="0"/>
              <w:jc w:val="center"/>
              <w:rPr>
                <w:sz w:val="21"/>
                <w:szCs w:val="21"/>
              </w:rPr>
            </w:pPr>
            <w:r>
              <w:rPr>
                <w:sz w:val="21"/>
                <w:szCs w:val="21"/>
              </w:rPr>
              <w:t>10</w:t>
            </w:r>
          </w:p>
        </w:tc>
        <w:tc>
          <w:tcPr>
            <w:tcW w:w="2938" w:type="dxa"/>
            <w:gridSpan w:val="2"/>
            <w:vAlign w:val="center"/>
          </w:tcPr>
          <w:p>
            <w:pPr>
              <w:widowControl/>
              <w:spacing w:line="240" w:lineRule="auto"/>
              <w:ind w:firstLine="0" w:firstLineChars="0"/>
              <w:jc w:val="center"/>
              <w:rPr>
                <w:sz w:val="21"/>
                <w:szCs w:val="21"/>
              </w:rPr>
            </w:pPr>
            <w:r>
              <w:rPr>
                <w:rFonts w:hint="eastAsia"/>
                <w:sz w:val="21"/>
                <w:szCs w:val="21"/>
              </w:rPr>
              <w:t>备用发电机</w:t>
            </w:r>
          </w:p>
        </w:tc>
        <w:tc>
          <w:tcPr>
            <w:tcW w:w="1077" w:type="dxa"/>
            <w:vAlign w:val="center"/>
          </w:tcPr>
          <w:p>
            <w:pPr>
              <w:widowControl/>
              <w:spacing w:line="240" w:lineRule="auto"/>
              <w:ind w:firstLine="0" w:firstLineChars="0"/>
              <w:jc w:val="center"/>
              <w:rPr>
                <w:sz w:val="21"/>
                <w:szCs w:val="21"/>
              </w:rPr>
            </w:pPr>
            <w:r>
              <w:rPr>
                <w:rFonts w:hint="eastAsia"/>
                <w:sz w:val="21"/>
                <w:szCs w:val="21"/>
              </w:rPr>
              <w:t>4</w:t>
            </w:r>
            <w:r>
              <w:rPr>
                <w:sz w:val="21"/>
                <w:szCs w:val="21"/>
              </w:rPr>
              <w:t>0</w:t>
            </w:r>
            <w:r>
              <w:rPr>
                <w:rFonts w:hint="eastAsia"/>
                <w:sz w:val="21"/>
                <w:szCs w:val="21"/>
              </w:rPr>
              <w:t>k</w:t>
            </w:r>
            <w:r>
              <w:rPr>
                <w:sz w:val="21"/>
                <w:szCs w:val="21"/>
              </w:rPr>
              <w:t>W</w:t>
            </w:r>
          </w:p>
        </w:tc>
        <w:tc>
          <w:tcPr>
            <w:tcW w:w="1188" w:type="dxa"/>
            <w:vAlign w:val="center"/>
          </w:tcPr>
          <w:p>
            <w:pPr>
              <w:spacing w:line="240" w:lineRule="auto"/>
              <w:ind w:firstLine="0" w:firstLineChars="0"/>
              <w:jc w:val="center"/>
              <w:rPr>
                <w:sz w:val="21"/>
                <w:szCs w:val="21"/>
              </w:rPr>
            </w:pPr>
            <w:r>
              <w:rPr>
                <w:rFonts w:hint="eastAsia"/>
                <w:sz w:val="21"/>
                <w:szCs w:val="21"/>
              </w:rPr>
              <w:t>1台</w:t>
            </w:r>
          </w:p>
        </w:tc>
        <w:tc>
          <w:tcPr>
            <w:tcW w:w="1178" w:type="dxa"/>
            <w:vAlign w:val="center"/>
          </w:tcPr>
          <w:p>
            <w:pPr>
              <w:spacing w:line="240" w:lineRule="auto"/>
              <w:ind w:firstLine="0" w:firstLineChars="0"/>
              <w:jc w:val="center"/>
              <w:rPr>
                <w:sz w:val="21"/>
                <w:szCs w:val="21"/>
              </w:rPr>
            </w:pPr>
            <w:r>
              <w:rPr>
                <w:rFonts w:hint="eastAsia"/>
                <w:sz w:val="21"/>
                <w:szCs w:val="21"/>
              </w:rPr>
              <w:t>0台</w:t>
            </w:r>
          </w:p>
        </w:tc>
        <w:tc>
          <w:tcPr>
            <w:tcW w:w="1538" w:type="dxa"/>
            <w:vAlign w:val="center"/>
          </w:tcPr>
          <w:p>
            <w:pPr>
              <w:spacing w:line="240" w:lineRule="auto"/>
              <w:ind w:firstLine="0" w:firstLineChars="0"/>
              <w:jc w:val="center"/>
              <w:rPr>
                <w:sz w:val="21"/>
                <w:szCs w:val="21"/>
              </w:rPr>
            </w:pPr>
            <w:r>
              <w:rPr>
                <w:rFonts w:hint="eastAsia"/>
                <w:sz w:val="21"/>
                <w:szCs w:val="21"/>
              </w:rPr>
              <w:t>项目取消设置备用发电机</w:t>
            </w:r>
          </w:p>
        </w:tc>
      </w:tr>
      <w:bookmarkEnd w:id="17"/>
    </w:tbl>
    <w:p>
      <w:pPr>
        <w:pStyle w:val="3"/>
      </w:pPr>
      <w:bookmarkStart w:id="18" w:name="_Toc31011"/>
      <w:r>
        <w:rPr>
          <w:rFonts w:hint="eastAsia"/>
        </w:rPr>
        <w:t>主要经营产品及规模</w:t>
      </w:r>
      <w:bookmarkEnd w:id="18"/>
    </w:p>
    <w:p>
      <w:pPr>
        <w:pStyle w:val="35"/>
        <w:spacing w:line="360" w:lineRule="auto"/>
      </w:pPr>
      <w:bookmarkStart w:id="19" w:name="_Ref102980776"/>
      <w:bookmarkStart w:id="20" w:name="_Hlk102742736"/>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bookmarkEnd w:id="19"/>
      <w:r>
        <w:t xml:space="preserve"> </w:t>
      </w:r>
      <w:r>
        <w:rPr>
          <w:rFonts w:hint="eastAsia"/>
        </w:rPr>
        <w:t>项目产品方案一览表</w:t>
      </w:r>
    </w:p>
    <w:tbl>
      <w:tblPr>
        <w:tblStyle w:val="22"/>
        <w:tblW w:w="8319"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
      <w:tblGrid>
        <w:gridCol w:w="601"/>
        <w:gridCol w:w="2233"/>
        <w:gridCol w:w="1829"/>
        <w:gridCol w:w="1829"/>
        <w:gridCol w:w="1827"/>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Ex>
        <w:trPr>
          <w:trHeight w:val="340" w:hRule="atLeast"/>
        </w:trPr>
        <w:tc>
          <w:tcPr>
            <w:tcW w:w="601" w:type="dxa"/>
            <w:tcBorders>
              <w:right w:val="single" w:color="auto" w:sz="4" w:space="0"/>
            </w:tcBorders>
            <w:vAlign w:val="center"/>
          </w:tcPr>
          <w:p>
            <w:pPr>
              <w:pStyle w:val="50"/>
              <w:rPr>
                <w:b/>
                <w:bCs/>
                <w:szCs w:val="21"/>
              </w:rPr>
            </w:pPr>
            <w:bookmarkStart w:id="21" w:name="_Hlk145577974"/>
            <w:r>
              <w:rPr>
                <w:b/>
                <w:bCs/>
                <w:szCs w:val="21"/>
              </w:rPr>
              <w:t>序号</w:t>
            </w:r>
          </w:p>
        </w:tc>
        <w:tc>
          <w:tcPr>
            <w:tcW w:w="2233" w:type="dxa"/>
            <w:tcBorders>
              <w:left w:val="single" w:color="auto" w:sz="4" w:space="0"/>
            </w:tcBorders>
            <w:vAlign w:val="center"/>
          </w:tcPr>
          <w:p>
            <w:pPr>
              <w:pStyle w:val="50"/>
              <w:rPr>
                <w:b/>
                <w:bCs/>
                <w:szCs w:val="21"/>
              </w:rPr>
            </w:pPr>
            <w:r>
              <w:rPr>
                <w:b/>
                <w:bCs/>
                <w:szCs w:val="21"/>
              </w:rPr>
              <w:t>油品名称</w:t>
            </w:r>
          </w:p>
        </w:tc>
        <w:tc>
          <w:tcPr>
            <w:tcW w:w="1829" w:type="dxa"/>
            <w:tcBorders>
              <w:right w:val="single" w:color="auto" w:sz="4" w:space="0"/>
            </w:tcBorders>
            <w:vAlign w:val="center"/>
          </w:tcPr>
          <w:p>
            <w:pPr>
              <w:pStyle w:val="50"/>
              <w:rPr>
                <w:b/>
                <w:bCs/>
                <w:szCs w:val="21"/>
              </w:rPr>
            </w:pPr>
            <w:r>
              <w:rPr>
                <w:rFonts w:hint="eastAsia"/>
                <w:b/>
                <w:bCs/>
                <w:szCs w:val="21"/>
              </w:rPr>
              <w:t>环评</w:t>
            </w:r>
            <w:r>
              <w:rPr>
                <w:b/>
                <w:bCs/>
                <w:szCs w:val="21"/>
              </w:rPr>
              <w:t>年销售量t/a</w:t>
            </w:r>
          </w:p>
        </w:tc>
        <w:tc>
          <w:tcPr>
            <w:tcW w:w="1829" w:type="dxa"/>
            <w:vAlign w:val="center"/>
          </w:tcPr>
          <w:p>
            <w:pPr>
              <w:pStyle w:val="50"/>
              <w:rPr>
                <w:b/>
                <w:bCs/>
                <w:szCs w:val="21"/>
              </w:rPr>
            </w:pPr>
            <w:r>
              <w:rPr>
                <w:rFonts w:hint="eastAsia"/>
                <w:b/>
                <w:bCs/>
                <w:szCs w:val="21"/>
              </w:rPr>
              <w:t>环评</w:t>
            </w:r>
            <w:r>
              <w:rPr>
                <w:b/>
                <w:bCs/>
                <w:szCs w:val="21"/>
              </w:rPr>
              <w:t>年销售量t/a</w:t>
            </w:r>
          </w:p>
        </w:tc>
        <w:tc>
          <w:tcPr>
            <w:tcW w:w="1827" w:type="dxa"/>
            <w:tcBorders>
              <w:right w:val="single" w:color="auto" w:sz="4" w:space="0"/>
            </w:tcBorders>
            <w:vAlign w:val="center"/>
          </w:tcPr>
          <w:p>
            <w:pPr>
              <w:pStyle w:val="50"/>
              <w:rPr>
                <w:b/>
                <w:bCs/>
                <w:szCs w:val="21"/>
              </w:rPr>
            </w:pPr>
            <w:r>
              <w:rPr>
                <w:rFonts w:hint="eastAsia"/>
                <w:b/>
                <w:bCs/>
                <w:szCs w:val="21"/>
              </w:rPr>
              <w:t>变化情况/备注</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Ex>
        <w:trPr>
          <w:trHeight w:val="340" w:hRule="atLeast"/>
        </w:trPr>
        <w:tc>
          <w:tcPr>
            <w:tcW w:w="601" w:type="dxa"/>
            <w:tcBorders>
              <w:right w:val="single" w:color="auto" w:sz="4" w:space="0"/>
            </w:tcBorders>
            <w:vAlign w:val="center"/>
          </w:tcPr>
          <w:p>
            <w:pPr>
              <w:pStyle w:val="50"/>
              <w:rPr>
                <w:szCs w:val="21"/>
              </w:rPr>
            </w:pPr>
            <w:r>
              <w:rPr>
                <w:szCs w:val="21"/>
              </w:rPr>
              <w:t>1</w:t>
            </w:r>
          </w:p>
        </w:tc>
        <w:tc>
          <w:tcPr>
            <w:tcW w:w="2233" w:type="dxa"/>
            <w:tcBorders>
              <w:left w:val="single" w:color="auto" w:sz="4" w:space="0"/>
            </w:tcBorders>
            <w:vAlign w:val="center"/>
          </w:tcPr>
          <w:p>
            <w:pPr>
              <w:spacing w:line="240" w:lineRule="auto"/>
              <w:ind w:firstLine="0" w:firstLineChars="0"/>
              <w:jc w:val="center"/>
              <w:rPr>
                <w:sz w:val="21"/>
                <w:szCs w:val="21"/>
              </w:rPr>
            </w:pPr>
            <w:r>
              <w:rPr>
                <w:bCs/>
                <w:sz w:val="21"/>
                <w:szCs w:val="21"/>
              </w:rPr>
              <w:t>92#汽油</w:t>
            </w:r>
          </w:p>
        </w:tc>
        <w:tc>
          <w:tcPr>
            <w:tcW w:w="1829" w:type="dxa"/>
            <w:tcBorders>
              <w:right w:val="single" w:color="auto" w:sz="4" w:space="0"/>
            </w:tcBorders>
            <w:vAlign w:val="center"/>
          </w:tcPr>
          <w:p>
            <w:pPr>
              <w:pStyle w:val="50"/>
              <w:rPr>
                <w:szCs w:val="21"/>
              </w:rPr>
            </w:pPr>
            <w:r>
              <w:rPr>
                <w:rFonts w:hint="eastAsia"/>
                <w:szCs w:val="21"/>
              </w:rPr>
              <w:t>3</w:t>
            </w:r>
            <w:r>
              <w:rPr>
                <w:szCs w:val="21"/>
              </w:rPr>
              <w:t>000</w:t>
            </w:r>
          </w:p>
        </w:tc>
        <w:tc>
          <w:tcPr>
            <w:tcW w:w="1829" w:type="dxa"/>
            <w:vAlign w:val="center"/>
          </w:tcPr>
          <w:p>
            <w:pPr>
              <w:pStyle w:val="50"/>
              <w:rPr>
                <w:szCs w:val="21"/>
              </w:rPr>
            </w:pPr>
            <w:r>
              <w:rPr>
                <w:rFonts w:hint="eastAsia"/>
                <w:szCs w:val="21"/>
              </w:rPr>
              <w:t>3</w:t>
            </w:r>
            <w:r>
              <w:rPr>
                <w:szCs w:val="21"/>
              </w:rPr>
              <w:t>000</w:t>
            </w:r>
          </w:p>
        </w:tc>
        <w:tc>
          <w:tcPr>
            <w:tcW w:w="1827" w:type="dxa"/>
            <w:tcBorders>
              <w:right w:val="single" w:color="auto" w:sz="4" w:space="0"/>
            </w:tcBorders>
            <w:vAlign w:val="center"/>
          </w:tcPr>
          <w:p>
            <w:pPr>
              <w:pStyle w:val="50"/>
              <w:rPr>
                <w:szCs w:val="21"/>
              </w:rPr>
            </w:pPr>
            <w:r>
              <w:rPr>
                <w:rFonts w:hint="eastAsia"/>
                <w:szCs w:val="21"/>
              </w:rPr>
              <w:t>无变化</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Ex>
        <w:trPr>
          <w:trHeight w:val="340" w:hRule="atLeast"/>
        </w:trPr>
        <w:tc>
          <w:tcPr>
            <w:tcW w:w="601" w:type="dxa"/>
            <w:tcBorders>
              <w:right w:val="single" w:color="auto" w:sz="4" w:space="0"/>
            </w:tcBorders>
            <w:vAlign w:val="center"/>
          </w:tcPr>
          <w:p>
            <w:pPr>
              <w:pStyle w:val="50"/>
              <w:rPr>
                <w:szCs w:val="21"/>
              </w:rPr>
            </w:pPr>
            <w:r>
              <w:rPr>
                <w:szCs w:val="21"/>
              </w:rPr>
              <w:t>2</w:t>
            </w:r>
          </w:p>
        </w:tc>
        <w:tc>
          <w:tcPr>
            <w:tcW w:w="2233" w:type="dxa"/>
            <w:tcBorders>
              <w:left w:val="single" w:color="auto" w:sz="4" w:space="0"/>
            </w:tcBorders>
            <w:vAlign w:val="center"/>
          </w:tcPr>
          <w:p>
            <w:pPr>
              <w:spacing w:line="240" w:lineRule="auto"/>
              <w:ind w:firstLine="0" w:firstLineChars="0"/>
              <w:jc w:val="center"/>
              <w:rPr>
                <w:sz w:val="21"/>
                <w:szCs w:val="21"/>
              </w:rPr>
            </w:pPr>
            <w:r>
              <w:rPr>
                <w:bCs/>
                <w:sz w:val="21"/>
                <w:szCs w:val="21"/>
              </w:rPr>
              <w:t>95#汽油</w:t>
            </w:r>
          </w:p>
        </w:tc>
        <w:tc>
          <w:tcPr>
            <w:tcW w:w="1829" w:type="dxa"/>
            <w:tcBorders>
              <w:right w:val="single" w:color="auto" w:sz="4" w:space="0"/>
            </w:tcBorders>
            <w:vAlign w:val="center"/>
          </w:tcPr>
          <w:p>
            <w:pPr>
              <w:pStyle w:val="50"/>
              <w:rPr>
                <w:szCs w:val="21"/>
              </w:rPr>
            </w:pPr>
            <w:r>
              <w:rPr>
                <w:rFonts w:hint="eastAsia"/>
                <w:szCs w:val="21"/>
              </w:rPr>
              <w:t>4</w:t>
            </w:r>
            <w:r>
              <w:rPr>
                <w:szCs w:val="21"/>
              </w:rPr>
              <w:t>500</w:t>
            </w:r>
          </w:p>
        </w:tc>
        <w:tc>
          <w:tcPr>
            <w:tcW w:w="1829" w:type="dxa"/>
            <w:vAlign w:val="center"/>
          </w:tcPr>
          <w:p>
            <w:pPr>
              <w:pStyle w:val="50"/>
              <w:rPr>
                <w:szCs w:val="21"/>
              </w:rPr>
            </w:pPr>
            <w:r>
              <w:rPr>
                <w:rFonts w:hint="eastAsia"/>
                <w:szCs w:val="21"/>
              </w:rPr>
              <w:t>4</w:t>
            </w:r>
            <w:r>
              <w:rPr>
                <w:szCs w:val="21"/>
              </w:rPr>
              <w:t>500</w:t>
            </w:r>
          </w:p>
        </w:tc>
        <w:tc>
          <w:tcPr>
            <w:tcW w:w="1827" w:type="dxa"/>
            <w:tcBorders>
              <w:right w:val="single" w:color="auto" w:sz="4" w:space="0"/>
            </w:tcBorders>
            <w:vAlign w:val="center"/>
          </w:tcPr>
          <w:p>
            <w:pPr>
              <w:pStyle w:val="50"/>
              <w:rPr>
                <w:szCs w:val="21"/>
              </w:rPr>
            </w:pPr>
            <w:r>
              <w:rPr>
                <w:rFonts w:hint="eastAsia"/>
                <w:szCs w:val="21"/>
              </w:rPr>
              <w:t>无变化</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Ex>
        <w:trPr>
          <w:trHeight w:val="340" w:hRule="atLeast"/>
        </w:trPr>
        <w:tc>
          <w:tcPr>
            <w:tcW w:w="601" w:type="dxa"/>
            <w:tcBorders>
              <w:right w:val="single" w:color="auto" w:sz="4" w:space="0"/>
            </w:tcBorders>
            <w:vAlign w:val="center"/>
          </w:tcPr>
          <w:p>
            <w:pPr>
              <w:pStyle w:val="50"/>
              <w:rPr>
                <w:szCs w:val="21"/>
              </w:rPr>
            </w:pPr>
            <w:r>
              <w:rPr>
                <w:szCs w:val="21"/>
              </w:rPr>
              <w:t>3</w:t>
            </w:r>
          </w:p>
        </w:tc>
        <w:tc>
          <w:tcPr>
            <w:tcW w:w="2233" w:type="dxa"/>
            <w:tcBorders>
              <w:left w:val="single" w:color="auto" w:sz="4" w:space="0"/>
            </w:tcBorders>
            <w:vAlign w:val="center"/>
          </w:tcPr>
          <w:p>
            <w:pPr>
              <w:spacing w:line="240" w:lineRule="auto"/>
              <w:ind w:firstLine="0" w:firstLineChars="0"/>
              <w:jc w:val="center"/>
              <w:rPr>
                <w:sz w:val="21"/>
                <w:szCs w:val="21"/>
              </w:rPr>
            </w:pPr>
            <w:r>
              <w:rPr>
                <w:bCs/>
                <w:sz w:val="21"/>
                <w:szCs w:val="21"/>
              </w:rPr>
              <w:t>98#汽油</w:t>
            </w:r>
          </w:p>
        </w:tc>
        <w:tc>
          <w:tcPr>
            <w:tcW w:w="1829" w:type="dxa"/>
            <w:tcBorders>
              <w:right w:val="single" w:color="auto" w:sz="4" w:space="0"/>
            </w:tcBorders>
            <w:vAlign w:val="center"/>
          </w:tcPr>
          <w:p>
            <w:pPr>
              <w:pStyle w:val="50"/>
              <w:rPr>
                <w:szCs w:val="21"/>
              </w:rPr>
            </w:pPr>
            <w:r>
              <w:rPr>
                <w:rFonts w:hint="eastAsia"/>
                <w:szCs w:val="21"/>
              </w:rPr>
              <w:t>1</w:t>
            </w:r>
            <w:r>
              <w:rPr>
                <w:szCs w:val="21"/>
              </w:rPr>
              <w:t>000</w:t>
            </w:r>
          </w:p>
        </w:tc>
        <w:tc>
          <w:tcPr>
            <w:tcW w:w="1829" w:type="dxa"/>
            <w:vAlign w:val="center"/>
          </w:tcPr>
          <w:p>
            <w:pPr>
              <w:pStyle w:val="50"/>
              <w:rPr>
                <w:szCs w:val="21"/>
              </w:rPr>
            </w:pPr>
            <w:r>
              <w:rPr>
                <w:rFonts w:hint="eastAsia"/>
                <w:szCs w:val="21"/>
              </w:rPr>
              <w:t>1</w:t>
            </w:r>
            <w:r>
              <w:rPr>
                <w:szCs w:val="21"/>
              </w:rPr>
              <w:t>000</w:t>
            </w:r>
          </w:p>
        </w:tc>
        <w:tc>
          <w:tcPr>
            <w:tcW w:w="1827" w:type="dxa"/>
            <w:tcBorders>
              <w:right w:val="single" w:color="auto" w:sz="4" w:space="0"/>
            </w:tcBorders>
            <w:vAlign w:val="center"/>
          </w:tcPr>
          <w:p>
            <w:pPr>
              <w:pStyle w:val="50"/>
              <w:rPr>
                <w:szCs w:val="21"/>
              </w:rPr>
            </w:pPr>
            <w:r>
              <w:rPr>
                <w:rFonts w:hint="eastAsia"/>
                <w:szCs w:val="21"/>
              </w:rPr>
              <w:t>无变化</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Ex>
        <w:trPr>
          <w:trHeight w:val="340" w:hRule="atLeast"/>
        </w:trPr>
        <w:tc>
          <w:tcPr>
            <w:tcW w:w="601" w:type="dxa"/>
            <w:tcBorders>
              <w:right w:val="single" w:color="auto" w:sz="4" w:space="0"/>
            </w:tcBorders>
            <w:vAlign w:val="center"/>
          </w:tcPr>
          <w:p>
            <w:pPr>
              <w:pStyle w:val="50"/>
              <w:rPr>
                <w:szCs w:val="21"/>
              </w:rPr>
            </w:pPr>
            <w:r>
              <w:rPr>
                <w:szCs w:val="21"/>
              </w:rPr>
              <w:t>4</w:t>
            </w:r>
          </w:p>
        </w:tc>
        <w:tc>
          <w:tcPr>
            <w:tcW w:w="2233" w:type="dxa"/>
            <w:tcBorders>
              <w:left w:val="single" w:color="auto" w:sz="4" w:space="0"/>
            </w:tcBorders>
            <w:vAlign w:val="center"/>
          </w:tcPr>
          <w:p>
            <w:pPr>
              <w:spacing w:line="240" w:lineRule="auto"/>
              <w:ind w:firstLine="0" w:firstLineChars="0"/>
              <w:jc w:val="center"/>
              <w:rPr>
                <w:sz w:val="21"/>
                <w:szCs w:val="21"/>
              </w:rPr>
            </w:pPr>
            <w:r>
              <w:rPr>
                <w:bCs/>
                <w:sz w:val="21"/>
                <w:szCs w:val="21"/>
              </w:rPr>
              <w:t>0#柴油</w:t>
            </w:r>
          </w:p>
        </w:tc>
        <w:tc>
          <w:tcPr>
            <w:tcW w:w="1829" w:type="dxa"/>
            <w:tcBorders>
              <w:right w:val="single" w:color="auto" w:sz="4" w:space="0"/>
            </w:tcBorders>
            <w:vAlign w:val="center"/>
          </w:tcPr>
          <w:p>
            <w:pPr>
              <w:pStyle w:val="50"/>
              <w:rPr>
                <w:szCs w:val="21"/>
              </w:rPr>
            </w:pPr>
            <w:r>
              <w:rPr>
                <w:rFonts w:hint="eastAsia"/>
                <w:szCs w:val="21"/>
              </w:rPr>
              <w:t>1</w:t>
            </w:r>
            <w:r>
              <w:rPr>
                <w:szCs w:val="21"/>
              </w:rPr>
              <w:t>300</w:t>
            </w:r>
          </w:p>
        </w:tc>
        <w:tc>
          <w:tcPr>
            <w:tcW w:w="1829" w:type="dxa"/>
            <w:vAlign w:val="center"/>
          </w:tcPr>
          <w:p>
            <w:pPr>
              <w:pStyle w:val="50"/>
              <w:rPr>
                <w:szCs w:val="21"/>
              </w:rPr>
            </w:pPr>
            <w:r>
              <w:rPr>
                <w:rFonts w:hint="eastAsia"/>
                <w:szCs w:val="21"/>
              </w:rPr>
              <w:t>1</w:t>
            </w:r>
            <w:r>
              <w:rPr>
                <w:szCs w:val="21"/>
              </w:rPr>
              <w:t>300</w:t>
            </w:r>
          </w:p>
        </w:tc>
        <w:tc>
          <w:tcPr>
            <w:tcW w:w="1827" w:type="dxa"/>
            <w:tcBorders>
              <w:right w:val="single" w:color="auto" w:sz="4" w:space="0"/>
            </w:tcBorders>
            <w:vAlign w:val="center"/>
          </w:tcPr>
          <w:p>
            <w:pPr>
              <w:pStyle w:val="50"/>
              <w:rPr>
                <w:szCs w:val="21"/>
              </w:rPr>
            </w:pPr>
            <w:r>
              <w:rPr>
                <w:rFonts w:hint="eastAsia"/>
                <w:szCs w:val="21"/>
              </w:rPr>
              <w:t>无变化</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Ex>
        <w:trPr>
          <w:trHeight w:val="340" w:hRule="atLeast"/>
        </w:trPr>
        <w:tc>
          <w:tcPr>
            <w:tcW w:w="2834" w:type="dxa"/>
            <w:gridSpan w:val="2"/>
            <w:vAlign w:val="center"/>
          </w:tcPr>
          <w:p>
            <w:pPr>
              <w:spacing w:line="240" w:lineRule="auto"/>
              <w:ind w:firstLine="0" w:firstLineChars="0"/>
              <w:jc w:val="center"/>
              <w:rPr>
                <w:bCs/>
                <w:sz w:val="21"/>
                <w:szCs w:val="21"/>
              </w:rPr>
            </w:pPr>
            <w:r>
              <w:rPr>
                <w:bCs/>
                <w:sz w:val="21"/>
                <w:szCs w:val="21"/>
              </w:rPr>
              <w:t>合计</w:t>
            </w:r>
          </w:p>
        </w:tc>
        <w:tc>
          <w:tcPr>
            <w:tcW w:w="1829" w:type="dxa"/>
            <w:tcBorders>
              <w:right w:val="single" w:color="auto" w:sz="4" w:space="0"/>
            </w:tcBorders>
            <w:vAlign w:val="center"/>
          </w:tcPr>
          <w:p>
            <w:pPr>
              <w:pStyle w:val="50"/>
              <w:rPr>
                <w:szCs w:val="21"/>
              </w:rPr>
            </w:pPr>
            <w:r>
              <w:rPr>
                <w:rFonts w:hint="eastAsia"/>
                <w:szCs w:val="21"/>
              </w:rPr>
              <w:t>9</w:t>
            </w:r>
            <w:r>
              <w:rPr>
                <w:szCs w:val="21"/>
              </w:rPr>
              <w:t>800</w:t>
            </w:r>
          </w:p>
        </w:tc>
        <w:tc>
          <w:tcPr>
            <w:tcW w:w="1829" w:type="dxa"/>
            <w:tcBorders>
              <w:right w:val="single" w:color="auto" w:sz="4" w:space="0"/>
            </w:tcBorders>
            <w:vAlign w:val="center"/>
          </w:tcPr>
          <w:p>
            <w:pPr>
              <w:pStyle w:val="50"/>
              <w:rPr>
                <w:szCs w:val="21"/>
              </w:rPr>
            </w:pPr>
            <w:r>
              <w:rPr>
                <w:rFonts w:hint="eastAsia"/>
                <w:szCs w:val="21"/>
              </w:rPr>
              <w:t>9800</w:t>
            </w:r>
          </w:p>
        </w:tc>
        <w:tc>
          <w:tcPr>
            <w:tcW w:w="1827" w:type="dxa"/>
            <w:tcBorders>
              <w:right w:val="single" w:color="auto" w:sz="4" w:space="0"/>
            </w:tcBorders>
            <w:vAlign w:val="center"/>
          </w:tcPr>
          <w:p>
            <w:pPr>
              <w:pStyle w:val="50"/>
              <w:rPr>
                <w:szCs w:val="21"/>
              </w:rPr>
            </w:pPr>
            <w:r>
              <w:rPr>
                <w:rFonts w:hint="eastAsia"/>
                <w:szCs w:val="21"/>
              </w:rPr>
              <w:t>无变化</w:t>
            </w:r>
          </w:p>
        </w:tc>
      </w:tr>
      <w:bookmarkEnd w:id="20"/>
      <w:bookmarkEnd w:id="21"/>
    </w:tbl>
    <w:p>
      <w:pPr>
        <w:pStyle w:val="3"/>
      </w:pPr>
      <w:bookmarkStart w:id="22" w:name="_Toc30619"/>
      <w:r>
        <w:rPr>
          <w:rFonts w:hint="eastAsia"/>
        </w:rPr>
        <w:t>水源及水平衡</w:t>
      </w:r>
      <w:bookmarkEnd w:id="22"/>
    </w:p>
    <w:p>
      <w:pPr>
        <w:ind w:firstLine="480"/>
      </w:pPr>
      <w:r>
        <w:rPr>
          <w:rFonts w:hint="eastAsia"/>
        </w:rPr>
        <w:t>本项目用水主要为生活用水、洗车用水和场地清洗用水，由市政供水管网供给。</w:t>
      </w:r>
    </w:p>
    <w:p>
      <w:pPr>
        <w:ind w:firstLine="480"/>
      </w:pPr>
      <w:r>
        <w:rPr>
          <w:rFonts w:hint="eastAsia"/>
        </w:rPr>
        <w:t>本项目生活污水经三级化粪池预处理后由市政污水管网排入高州市城区水质净化厂进一步处理；洗车废水、场地清洗废水及初期雨水经隔油池处理后由市政污水管网排入高州市城区水质净化厂进一步处理。</w:t>
      </w:r>
    </w:p>
    <w:p>
      <w:pPr>
        <w:ind w:firstLine="480"/>
      </w:pPr>
      <w:r>
        <w:rPr>
          <w:szCs w:val="24"/>
        </w:rPr>
        <w:t>根据建设单位提供的资料</w:t>
      </w:r>
      <w:r>
        <w:rPr>
          <w:rFonts w:hint="eastAsia"/>
          <w:szCs w:val="24"/>
        </w:rPr>
        <w:t>，验收期间水平衡图见图3</w:t>
      </w:r>
      <w:r>
        <w:rPr>
          <w:szCs w:val="24"/>
        </w:rPr>
        <w:t>-4</w:t>
      </w:r>
      <w:r>
        <w:rPr>
          <w:rFonts w:hint="eastAsia"/>
          <w:szCs w:val="24"/>
        </w:rPr>
        <w:t>。</w:t>
      </w:r>
    </w:p>
    <w:p>
      <w:pPr>
        <w:pStyle w:val="31"/>
      </w:pPr>
      <w:r>
        <w:drawing>
          <wp:inline distT="0" distB="0" distL="0" distR="0">
            <wp:extent cx="5162550" cy="2857500"/>
            <wp:effectExtent l="0" t="0" r="0" b="0"/>
            <wp:docPr id="2124229587" name="Picture 2124229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229587" name="Picture 2124229586"/>
                    <pic:cNvPicPr>
                      <a:picLocks noChangeAspect="1"/>
                    </pic:cNvPicPr>
                  </pic:nvPicPr>
                  <pic:blipFill>
                    <a:blip r:embed="rId17"/>
                    <a:srcRect/>
                    <a:stretch>
                      <a:fillRect/>
                    </a:stretch>
                  </pic:blipFill>
                  <pic:spPr>
                    <a:xfrm>
                      <a:off x="0" y="0"/>
                      <a:ext cx="5162550" cy="2857500"/>
                    </a:xfrm>
                    <a:prstGeom prst="rect">
                      <a:avLst/>
                    </a:prstGeom>
                  </pic:spPr>
                </pic:pic>
              </a:graphicData>
            </a:graphic>
          </wp:inline>
        </w:drawing>
      </w:r>
    </w:p>
    <w:p>
      <w:pPr>
        <w:pStyle w:val="35"/>
      </w:pPr>
      <w:r>
        <w:rPr>
          <w:rFonts w:hint="eastAsia"/>
        </w:rPr>
        <w:t>图3</w:t>
      </w:r>
      <w:r>
        <w:t xml:space="preserve">-4  </w:t>
      </w:r>
      <w:r>
        <w:rPr>
          <w:rFonts w:hint="eastAsia"/>
        </w:rPr>
        <w:t xml:space="preserve">水平衡图 </w:t>
      </w:r>
      <w:r>
        <w:t xml:space="preserve"> </w:t>
      </w:r>
      <w:r>
        <w:rPr>
          <w:rFonts w:hint="eastAsia"/>
        </w:rPr>
        <w:t>单位：t</w:t>
      </w:r>
      <w:r>
        <w:t>/</w:t>
      </w:r>
      <w:r>
        <w:rPr>
          <w:rFonts w:hint="eastAsia"/>
        </w:rPr>
        <w:t>a</w:t>
      </w:r>
    </w:p>
    <w:p>
      <w:pPr>
        <w:pStyle w:val="35"/>
      </w:pPr>
    </w:p>
    <w:p>
      <w:pPr>
        <w:pStyle w:val="3"/>
      </w:pPr>
      <w:bookmarkStart w:id="23" w:name="_Toc20572"/>
      <w:r>
        <w:rPr>
          <w:rFonts w:hint="eastAsia"/>
        </w:rPr>
        <w:t>生产工艺</w:t>
      </w:r>
      <w:bookmarkEnd w:id="23"/>
    </w:p>
    <w:p>
      <w:pPr>
        <w:pStyle w:val="31"/>
        <w:ind w:firstLine="480" w:firstLineChars="200"/>
        <w:jc w:val="both"/>
        <w:rPr>
          <w:bCs/>
          <w:sz w:val="24"/>
          <w:szCs w:val="24"/>
        </w:rPr>
      </w:pPr>
      <w:r>
        <w:rPr>
          <w:rFonts w:hint="eastAsia"/>
          <w:bCs/>
          <w:sz w:val="24"/>
          <w:szCs w:val="24"/>
        </w:rPr>
        <w:t>1、油品卸油、加油工艺</w:t>
      </w:r>
    </w:p>
    <w:p>
      <w:pPr>
        <w:pStyle w:val="31"/>
        <w:rPr>
          <w:b/>
        </w:rPr>
      </w:pPr>
      <w:r>
        <w:drawing>
          <wp:inline distT="0" distB="0" distL="0" distR="0">
            <wp:extent cx="5274310" cy="1482090"/>
            <wp:effectExtent l="0" t="0" r="0" b="3810"/>
            <wp:docPr id="2124229585" name="Picture 2124229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229585" name="Picture 2124229584"/>
                    <pic:cNvPicPr>
                      <a:picLocks noChangeAspect="1"/>
                    </pic:cNvPicPr>
                  </pic:nvPicPr>
                  <pic:blipFill>
                    <a:blip r:embed="rId18"/>
                    <a:srcRect/>
                    <a:stretch>
                      <a:fillRect/>
                    </a:stretch>
                  </pic:blipFill>
                  <pic:spPr>
                    <a:xfrm>
                      <a:off x="0" y="0"/>
                      <a:ext cx="5274310" cy="1482509"/>
                    </a:xfrm>
                    <a:prstGeom prst="rect">
                      <a:avLst/>
                    </a:prstGeom>
                  </pic:spPr>
                </pic:pic>
              </a:graphicData>
            </a:graphic>
          </wp:inline>
        </w:drawing>
      </w:r>
    </w:p>
    <w:p>
      <w:pPr>
        <w:pStyle w:val="35"/>
      </w:pPr>
      <w:r>
        <w:rPr>
          <w:rFonts w:hint="eastAsia"/>
        </w:rPr>
        <w:t>图3</w:t>
      </w:r>
      <w:r>
        <w:t xml:space="preserve">-5  </w:t>
      </w:r>
      <w:r>
        <w:rPr>
          <w:rFonts w:hint="eastAsia"/>
        </w:rPr>
        <w:t>柴油卸油、加油工艺流程及产污环节</w:t>
      </w:r>
    </w:p>
    <w:p>
      <w:pPr>
        <w:pStyle w:val="35"/>
      </w:pPr>
      <w:r>
        <w:drawing>
          <wp:inline distT="0" distB="0" distL="0" distR="0">
            <wp:extent cx="5274310" cy="2092325"/>
            <wp:effectExtent l="0" t="0" r="0" b="0"/>
            <wp:docPr id="2124229584" name="Picture 2124229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229584" name="Picture 2124229583"/>
                    <pic:cNvPicPr>
                      <a:picLocks noChangeAspect="1"/>
                    </pic:cNvPicPr>
                  </pic:nvPicPr>
                  <pic:blipFill>
                    <a:blip r:embed="rId19"/>
                    <a:srcRect/>
                    <a:stretch>
                      <a:fillRect/>
                    </a:stretch>
                  </pic:blipFill>
                  <pic:spPr>
                    <a:xfrm>
                      <a:off x="0" y="0"/>
                      <a:ext cx="5274310" cy="2092680"/>
                    </a:xfrm>
                    <a:prstGeom prst="rect">
                      <a:avLst/>
                    </a:prstGeom>
                  </pic:spPr>
                </pic:pic>
              </a:graphicData>
            </a:graphic>
          </wp:inline>
        </w:drawing>
      </w:r>
    </w:p>
    <w:p>
      <w:pPr>
        <w:pStyle w:val="35"/>
      </w:pPr>
      <w:r>
        <w:rPr>
          <w:rFonts w:hint="eastAsia"/>
        </w:rPr>
        <w:t>图3-6 汽油卸油、加油工艺流程及产污环节</w:t>
      </w:r>
    </w:p>
    <w:p>
      <w:pPr>
        <w:pStyle w:val="35"/>
      </w:pPr>
    </w:p>
    <w:p>
      <w:pPr>
        <w:pStyle w:val="51"/>
        <w:numPr>
          <w:ilvl w:val="0"/>
          <w:numId w:val="2"/>
        </w:numPr>
        <w:spacing w:line="360" w:lineRule="auto"/>
        <w:ind w:firstLineChars="0"/>
        <w:rPr>
          <w:sz w:val="24"/>
        </w:rPr>
      </w:pPr>
      <w:r>
        <w:rPr>
          <w:rFonts w:hint="eastAsia"/>
          <w:sz w:val="24"/>
        </w:rPr>
        <w:t>卸油</w:t>
      </w:r>
    </w:p>
    <w:p>
      <w:pPr>
        <w:adjustRightInd w:val="0"/>
        <w:snapToGrid w:val="0"/>
        <w:ind w:firstLine="480"/>
      </w:pPr>
      <w:r>
        <w:rPr>
          <w:rFonts w:hint="eastAsia"/>
        </w:rPr>
        <w:t>成品油罐车来油后，采用密闭式卸油工艺将油品卸到各埋地式储油罐中。在卸油过程中，储油罐里的气体空间随着油品的液位升高而减少，气体压力增大。为保持压力的平衡，一部分气体通过呼吸阀排出储罐，此时会产生油气。</w:t>
      </w:r>
    </w:p>
    <w:p>
      <w:pPr>
        <w:pStyle w:val="51"/>
        <w:numPr>
          <w:ilvl w:val="0"/>
          <w:numId w:val="2"/>
        </w:numPr>
        <w:spacing w:line="360" w:lineRule="auto"/>
        <w:ind w:firstLineChars="0"/>
        <w:rPr>
          <w:sz w:val="24"/>
        </w:rPr>
      </w:pPr>
      <w:r>
        <w:rPr>
          <w:rFonts w:hint="eastAsia"/>
          <w:sz w:val="24"/>
        </w:rPr>
        <w:t>储油</w:t>
      </w:r>
    </w:p>
    <w:p>
      <w:pPr>
        <w:adjustRightInd w:val="0"/>
        <w:snapToGrid w:val="0"/>
        <w:ind w:firstLine="480"/>
      </w:pPr>
      <w:r>
        <w:rPr>
          <w:rFonts w:hint="eastAsia"/>
        </w:rPr>
        <w:t>成品油在储油罐内静置储存。本项目为埋地储罐，具有良好的隔温、保温效果，本次评价不考虑储罐因昼夜交替温度变化引起小呼吸产生的油气排放。</w:t>
      </w:r>
    </w:p>
    <w:p>
      <w:pPr>
        <w:adjustRightInd w:val="0"/>
        <w:snapToGrid w:val="0"/>
        <w:ind w:firstLine="480"/>
      </w:pPr>
      <w:r>
        <w:rPr>
          <w:rFonts w:hint="eastAsia"/>
        </w:rPr>
        <w:t>储油罐需定期清理，清理过程中产生清罐废渣，包括油垢、罐体铁渣以及清洗过程产生的油水混合物等。</w:t>
      </w:r>
    </w:p>
    <w:p>
      <w:pPr>
        <w:pStyle w:val="51"/>
        <w:numPr>
          <w:ilvl w:val="0"/>
          <w:numId w:val="2"/>
        </w:numPr>
        <w:spacing w:line="360" w:lineRule="auto"/>
        <w:ind w:firstLineChars="0"/>
        <w:rPr>
          <w:sz w:val="24"/>
        </w:rPr>
      </w:pPr>
      <w:r>
        <w:rPr>
          <w:rFonts w:hint="eastAsia"/>
          <w:sz w:val="24"/>
        </w:rPr>
        <w:t>加油</w:t>
      </w:r>
    </w:p>
    <w:p>
      <w:pPr>
        <w:adjustRightInd w:val="0"/>
        <w:snapToGrid w:val="0"/>
        <w:ind w:firstLine="480"/>
      </w:pPr>
      <w:r>
        <w:rPr>
          <w:rFonts w:hint="eastAsia"/>
        </w:rPr>
        <w:t>向车用油箱加油时，先通过潜油泵将埋地油罐中的油品送至加油机计量系统进行计量，然后再通过与加油机连接的加油枪将油品送入车用油箱中，每个加油枪设单独管线吸油，该过程车用油箱的加油口处会产生油气。同时车辆进出场地加油会产生车辆尾气。</w:t>
      </w:r>
    </w:p>
    <w:p>
      <w:pPr>
        <w:pStyle w:val="51"/>
        <w:numPr>
          <w:ilvl w:val="0"/>
          <w:numId w:val="2"/>
        </w:numPr>
        <w:spacing w:line="360" w:lineRule="auto"/>
        <w:ind w:firstLineChars="0"/>
        <w:rPr>
          <w:sz w:val="24"/>
        </w:rPr>
      </w:pPr>
      <w:r>
        <w:rPr>
          <w:rFonts w:hint="eastAsia"/>
          <w:sz w:val="24"/>
        </w:rPr>
        <w:t>三次油气回收系统</w:t>
      </w:r>
    </w:p>
    <w:p>
      <w:pPr>
        <w:adjustRightInd w:val="0"/>
        <w:snapToGrid w:val="0"/>
        <w:ind w:firstLine="480"/>
      </w:pPr>
      <w:r>
        <w:rPr>
          <w:rFonts w:hint="eastAsia"/>
          <w:bCs/>
        </w:rPr>
        <w:t>柴油的蒸汽压太低，蒸汽压越低越难挥发，运营期柴油产生的油气量少，因此本项目仅对汽油设置三次油气回收系统。</w:t>
      </w:r>
      <w:r>
        <w:rPr>
          <w:rFonts w:hint="eastAsia"/>
        </w:rPr>
        <w:t>项目三次油气回收系统由卸油油气回收（一次油气回收）、加油油气回收（二次油气回收）、油气后处理（三次油气回收）组成。</w:t>
      </w:r>
    </w:p>
    <w:p>
      <w:pPr>
        <w:adjustRightInd w:val="0"/>
        <w:snapToGrid w:val="0"/>
        <w:ind w:firstLine="480"/>
        <w:rPr>
          <w:bCs/>
        </w:rPr>
      </w:pPr>
      <w:r>
        <w:rPr>
          <w:rFonts w:hint="eastAsia"/>
          <w:bCs/>
        </w:rPr>
        <w:t>①卸油油气回收：也叫一次油气回收，主要是针对卸油过程产生的油气而设计的。其基本原理就是用导管将卸油过程产生的油气重新输送至油罐车里，完成油气循环的卸油过程。</w:t>
      </w:r>
    </w:p>
    <w:p>
      <w:pPr>
        <w:adjustRightInd w:val="0"/>
        <w:snapToGrid w:val="0"/>
        <w:ind w:firstLine="480"/>
        <w:rPr>
          <w:bCs/>
        </w:rPr>
      </w:pPr>
      <w:r>
        <w:rPr>
          <w:rFonts w:hint="eastAsia"/>
          <w:bCs/>
        </w:rPr>
        <w:t>②加油油气回收： 也叫二次油气回收，主要过程为在加油过程中，通过真空泵产生一定真空度，经过加油枪、油气回收管等油气回收设备，按照气液比控制在1.0~1.2之间的要求，将加油过程中挥发的油气回收到油罐内。</w:t>
      </w:r>
    </w:p>
    <w:p>
      <w:pPr>
        <w:adjustRightInd w:val="0"/>
        <w:snapToGrid w:val="0"/>
        <w:ind w:firstLine="480"/>
        <w:rPr>
          <w:bCs/>
        </w:rPr>
      </w:pPr>
      <w:r>
        <w:rPr>
          <w:rFonts w:hint="eastAsia"/>
          <w:bCs/>
        </w:rPr>
        <w:t>③油气后处理：也叫三次油气回收，是指回收地下汽油油罐的油气，防止油气排放到大气中。在一二次油气回收过程，油罐逐渐增加油气，在其达到一定压力时需向外界排放多余油气保持罐内压力安全。项目油气后处理主要是通过压力和过滤膜，先使部分油气冷凝液化，未冷凝为液态的浓度较低的油气利用不同组分在膜表面渗透速率存在差异的原理实现烃类物质的分离，只将空气放到大气中，而将油气自动压成油回到油罐，同时也安装油气回收在线监测系统，实时监控运行情况。</w:t>
      </w:r>
    </w:p>
    <w:p>
      <w:pPr>
        <w:adjustRightInd w:val="0"/>
        <w:snapToGrid w:val="0"/>
        <w:ind w:firstLine="480"/>
      </w:pPr>
      <w:r>
        <w:rPr>
          <w:rFonts w:hint="eastAsia"/>
        </w:rPr>
        <w:t>项目设置三次油气回收系统对加油、卸油过程产生的油气进行回收，回收效率为9</w:t>
      </w:r>
      <w:r>
        <w:t>5%</w:t>
      </w:r>
      <w:r>
        <w:rPr>
          <w:rFonts w:hint="eastAsia"/>
        </w:rPr>
        <w:t>。</w:t>
      </w:r>
    </w:p>
    <w:p>
      <w:pPr>
        <w:ind w:firstLine="480"/>
      </w:pPr>
      <w:r>
        <w:rPr>
          <w:rFonts w:hint="eastAsia"/>
        </w:rPr>
        <w:t>2、洗车工艺</w:t>
      </w:r>
    </w:p>
    <w:p>
      <w:pPr>
        <w:adjustRightInd w:val="0"/>
        <w:snapToGrid w:val="0"/>
        <w:ind w:firstLine="0" w:firstLineChars="0"/>
        <w:jc w:val="center"/>
      </w:pPr>
      <w:r>
        <w:drawing>
          <wp:inline distT="0" distB="0" distL="0" distR="0">
            <wp:extent cx="3733165" cy="904875"/>
            <wp:effectExtent l="0" t="0" r="0" b="0"/>
            <wp:docPr id="2124229583" name="Picture 2124229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229583" name="Picture 2124229582"/>
                    <pic:cNvPicPr>
                      <a:picLocks noChangeAspect="1"/>
                    </pic:cNvPicPr>
                  </pic:nvPicPr>
                  <pic:blipFill>
                    <a:blip r:embed="rId20"/>
                    <a:srcRect/>
                    <a:stretch>
                      <a:fillRect/>
                    </a:stretch>
                  </pic:blipFill>
                  <pic:spPr>
                    <a:xfrm>
                      <a:off x="0" y="0"/>
                      <a:ext cx="3733799" cy="904875"/>
                    </a:xfrm>
                    <a:prstGeom prst="rect">
                      <a:avLst/>
                    </a:prstGeom>
                  </pic:spPr>
                </pic:pic>
              </a:graphicData>
            </a:graphic>
          </wp:inline>
        </w:drawing>
      </w:r>
    </w:p>
    <w:p>
      <w:pPr>
        <w:ind w:firstLine="422"/>
        <w:jc w:val="center"/>
        <w:rPr>
          <w:b/>
          <w:bCs/>
          <w:sz w:val="21"/>
          <w:szCs w:val="21"/>
        </w:rPr>
      </w:pPr>
      <w:r>
        <w:rPr>
          <w:b/>
          <w:bCs/>
          <w:sz w:val="21"/>
          <w:szCs w:val="21"/>
        </w:rPr>
        <w:t>图</w:t>
      </w:r>
      <w:r>
        <w:rPr>
          <w:rFonts w:hint="eastAsia"/>
          <w:b/>
          <w:bCs/>
          <w:sz w:val="21"/>
          <w:szCs w:val="21"/>
        </w:rPr>
        <w:t>3-7</w:t>
      </w:r>
      <w:r>
        <w:rPr>
          <w:b/>
          <w:bCs/>
          <w:sz w:val="21"/>
          <w:szCs w:val="21"/>
        </w:rPr>
        <w:t xml:space="preserve"> </w:t>
      </w:r>
      <w:r>
        <w:rPr>
          <w:rFonts w:hint="eastAsia"/>
          <w:b/>
          <w:bCs/>
          <w:sz w:val="21"/>
          <w:szCs w:val="21"/>
        </w:rPr>
        <w:t>洗车</w:t>
      </w:r>
      <w:r>
        <w:rPr>
          <w:b/>
          <w:bCs/>
          <w:sz w:val="21"/>
          <w:szCs w:val="21"/>
        </w:rPr>
        <w:t>流程及产污环节</w:t>
      </w:r>
    </w:p>
    <w:p>
      <w:pPr>
        <w:snapToGrid w:val="0"/>
        <w:ind w:firstLine="480"/>
      </w:pPr>
      <w:r>
        <w:rPr>
          <w:rFonts w:hint="eastAsia"/>
        </w:rPr>
        <w:t>根据建设单位提供的资料，本项目自动清洗机清洗车辆约3000辆/年，此工艺主要产生洗车废水、汽车尾气和噪声。</w:t>
      </w:r>
    </w:p>
    <w:p>
      <w:pPr>
        <w:pStyle w:val="3"/>
      </w:pPr>
      <w:bookmarkStart w:id="24" w:name="_Toc28425"/>
      <w:r>
        <w:rPr>
          <w:rFonts w:hint="eastAsia"/>
        </w:rPr>
        <w:t>项目变动情况</w:t>
      </w:r>
      <w:bookmarkEnd w:id="24"/>
    </w:p>
    <w:p>
      <w:pPr>
        <w:ind w:firstLine="480"/>
      </w:pPr>
      <w:r>
        <w:rPr>
          <w:rFonts w:hint="eastAsia"/>
        </w:rPr>
        <w:t>参照《污染影响类建设项目重大变动清单（试行）》（环办环评函〔2020〕688号），本项目变动内容与《污染影响类建设项目重大变动清单》对照一览表如下。</w:t>
      </w:r>
    </w:p>
    <w:p>
      <w:pPr>
        <w:pStyle w:val="35"/>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3.6</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与《污染影响类建设项目重大变动清单（试行）》对照判定一览表</w:t>
      </w:r>
    </w:p>
    <w:tbl>
      <w:tblPr>
        <w:tblStyle w:val="22"/>
        <w:tblW w:w="83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35"/>
        <w:gridCol w:w="508"/>
        <w:gridCol w:w="3995"/>
        <w:gridCol w:w="2651"/>
        <w:gridCol w:w="8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blHeader/>
        </w:trPr>
        <w:tc>
          <w:tcPr>
            <w:tcW w:w="335" w:type="dxa"/>
            <w:shd w:val="clear" w:color="auto" w:fill="auto"/>
            <w:tcMar>
              <w:top w:w="15" w:type="dxa"/>
              <w:left w:w="15" w:type="dxa"/>
              <w:bottom w:w="0" w:type="dxa"/>
              <w:right w:w="15" w:type="dxa"/>
            </w:tcMar>
            <w:vAlign w:val="center"/>
          </w:tcPr>
          <w:p>
            <w:pPr>
              <w:pStyle w:val="31"/>
              <w:rPr>
                <w:b/>
                <w:color w:val="0070C0"/>
              </w:rPr>
            </w:pPr>
            <w:r>
              <w:rPr>
                <w:b/>
              </w:rPr>
              <w:t>序号</w:t>
            </w:r>
          </w:p>
        </w:tc>
        <w:tc>
          <w:tcPr>
            <w:tcW w:w="508" w:type="dxa"/>
            <w:shd w:val="clear" w:color="auto" w:fill="auto"/>
            <w:tcMar>
              <w:top w:w="15" w:type="dxa"/>
              <w:left w:w="15" w:type="dxa"/>
              <w:bottom w:w="0" w:type="dxa"/>
              <w:right w:w="15" w:type="dxa"/>
            </w:tcMar>
            <w:vAlign w:val="center"/>
          </w:tcPr>
          <w:p>
            <w:pPr>
              <w:pStyle w:val="31"/>
              <w:rPr>
                <w:b/>
                <w:color w:val="0070C0"/>
              </w:rPr>
            </w:pPr>
            <w:r>
              <w:rPr>
                <w:rFonts w:hint="eastAsia"/>
                <w:b/>
              </w:rPr>
              <w:t>类别</w:t>
            </w:r>
          </w:p>
        </w:tc>
        <w:tc>
          <w:tcPr>
            <w:tcW w:w="3995" w:type="dxa"/>
            <w:shd w:val="clear" w:color="auto" w:fill="auto"/>
            <w:tcMar>
              <w:top w:w="15" w:type="dxa"/>
              <w:left w:w="15" w:type="dxa"/>
              <w:bottom w:w="0" w:type="dxa"/>
              <w:right w:w="15" w:type="dxa"/>
            </w:tcMar>
            <w:vAlign w:val="center"/>
          </w:tcPr>
          <w:p>
            <w:pPr>
              <w:pStyle w:val="31"/>
              <w:rPr>
                <w:b/>
                <w:color w:val="0070C0"/>
              </w:rPr>
            </w:pPr>
            <w:r>
              <w:rPr>
                <w:b/>
              </w:rPr>
              <w:t>判定原则</w:t>
            </w:r>
          </w:p>
        </w:tc>
        <w:tc>
          <w:tcPr>
            <w:tcW w:w="2651" w:type="dxa"/>
            <w:shd w:val="clear" w:color="auto" w:fill="auto"/>
            <w:tcMar>
              <w:top w:w="15" w:type="dxa"/>
              <w:left w:w="15" w:type="dxa"/>
              <w:bottom w:w="0" w:type="dxa"/>
              <w:right w:w="15" w:type="dxa"/>
            </w:tcMar>
            <w:vAlign w:val="center"/>
          </w:tcPr>
          <w:p>
            <w:pPr>
              <w:pStyle w:val="31"/>
              <w:rPr>
                <w:b/>
                <w:color w:val="0070C0"/>
              </w:rPr>
            </w:pPr>
            <w:r>
              <w:rPr>
                <w:b/>
              </w:rPr>
              <w:t>变动工程</w:t>
            </w:r>
          </w:p>
        </w:tc>
        <w:tc>
          <w:tcPr>
            <w:tcW w:w="847" w:type="dxa"/>
            <w:shd w:val="clear" w:color="auto" w:fill="auto"/>
            <w:tcMar>
              <w:top w:w="15" w:type="dxa"/>
              <w:left w:w="15" w:type="dxa"/>
              <w:bottom w:w="0" w:type="dxa"/>
              <w:right w:w="15" w:type="dxa"/>
            </w:tcMar>
            <w:vAlign w:val="center"/>
          </w:tcPr>
          <w:p>
            <w:pPr>
              <w:pStyle w:val="31"/>
              <w:rPr>
                <w:b/>
              </w:rPr>
            </w:pPr>
            <w:r>
              <w:rPr>
                <w:b/>
              </w:rPr>
              <w:t>是否重大变动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335" w:type="dxa"/>
            <w:shd w:val="clear" w:color="auto" w:fill="auto"/>
            <w:tcMar>
              <w:top w:w="15" w:type="dxa"/>
              <w:left w:w="15" w:type="dxa"/>
              <w:bottom w:w="0" w:type="dxa"/>
              <w:right w:w="15" w:type="dxa"/>
            </w:tcMar>
            <w:vAlign w:val="center"/>
          </w:tcPr>
          <w:p>
            <w:pPr>
              <w:pStyle w:val="31"/>
              <w:rPr>
                <w:color w:val="0070C0"/>
              </w:rPr>
            </w:pPr>
            <w:r>
              <w:rPr>
                <w:rFonts w:hint="eastAsia"/>
              </w:rPr>
              <w:t>1</w:t>
            </w:r>
          </w:p>
        </w:tc>
        <w:tc>
          <w:tcPr>
            <w:tcW w:w="508" w:type="dxa"/>
            <w:shd w:val="clear" w:color="auto" w:fill="auto"/>
            <w:tcMar>
              <w:top w:w="15" w:type="dxa"/>
              <w:left w:w="15" w:type="dxa"/>
              <w:bottom w:w="0" w:type="dxa"/>
              <w:right w:w="15" w:type="dxa"/>
            </w:tcMar>
            <w:vAlign w:val="center"/>
          </w:tcPr>
          <w:p>
            <w:pPr>
              <w:pStyle w:val="31"/>
              <w:rPr>
                <w:color w:val="0070C0"/>
              </w:rPr>
            </w:pPr>
            <w:r>
              <w:rPr>
                <w:rFonts w:hint="eastAsia"/>
              </w:rPr>
              <w:t>性质</w:t>
            </w:r>
          </w:p>
        </w:tc>
        <w:tc>
          <w:tcPr>
            <w:tcW w:w="3995" w:type="dxa"/>
            <w:shd w:val="clear" w:color="auto" w:fill="auto"/>
            <w:tcMar>
              <w:top w:w="15" w:type="dxa"/>
              <w:left w:w="15" w:type="dxa"/>
              <w:bottom w:w="0" w:type="dxa"/>
              <w:right w:w="15" w:type="dxa"/>
            </w:tcMar>
            <w:vAlign w:val="center"/>
          </w:tcPr>
          <w:p>
            <w:pPr>
              <w:pStyle w:val="31"/>
              <w:rPr>
                <w:color w:val="0070C0"/>
              </w:rPr>
            </w:pPr>
            <w:r>
              <w:rPr>
                <w:rFonts w:hint="eastAsia"/>
              </w:rPr>
              <w:t>建设项目开发、使用功能发生变化的</w:t>
            </w:r>
          </w:p>
        </w:tc>
        <w:tc>
          <w:tcPr>
            <w:tcW w:w="2651" w:type="dxa"/>
            <w:shd w:val="clear" w:color="auto" w:fill="auto"/>
            <w:tcMar>
              <w:top w:w="15" w:type="dxa"/>
              <w:left w:w="15" w:type="dxa"/>
              <w:bottom w:w="0" w:type="dxa"/>
              <w:right w:w="15" w:type="dxa"/>
            </w:tcMar>
            <w:vAlign w:val="center"/>
          </w:tcPr>
          <w:p>
            <w:pPr>
              <w:pStyle w:val="31"/>
              <w:rPr>
                <w:color w:val="0070C0"/>
              </w:rPr>
            </w:pPr>
            <w:r>
              <w:rPr>
                <w:rFonts w:hint="eastAsia"/>
              </w:rPr>
              <w:t>无变化</w:t>
            </w:r>
          </w:p>
        </w:tc>
        <w:tc>
          <w:tcPr>
            <w:tcW w:w="847" w:type="dxa"/>
            <w:shd w:val="clear" w:color="auto" w:fill="auto"/>
            <w:tcMar>
              <w:top w:w="15" w:type="dxa"/>
              <w:left w:w="15" w:type="dxa"/>
              <w:bottom w:w="0" w:type="dxa"/>
              <w:right w:w="15" w:type="dxa"/>
            </w:tcMar>
            <w:vAlign w:val="center"/>
          </w:tcPr>
          <w:p>
            <w:pPr>
              <w:pStyle w:val="31"/>
            </w:pPr>
            <w:r>
              <w:rPr>
                <w:rFonts w:hint="eastAsia"/>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335" w:type="dxa"/>
            <w:shd w:val="clear" w:color="auto" w:fill="auto"/>
            <w:tcMar>
              <w:top w:w="15" w:type="dxa"/>
              <w:left w:w="15" w:type="dxa"/>
              <w:bottom w:w="0" w:type="dxa"/>
              <w:right w:w="15" w:type="dxa"/>
            </w:tcMar>
            <w:vAlign w:val="center"/>
          </w:tcPr>
          <w:p>
            <w:pPr>
              <w:pStyle w:val="31"/>
              <w:rPr>
                <w:color w:val="0070C0"/>
              </w:rPr>
            </w:pPr>
            <w:r>
              <w:t>2</w:t>
            </w:r>
          </w:p>
        </w:tc>
        <w:tc>
          <w:tcPr>
            <w:tcW w:w="508" w:type="dxa"/>
            <w:vMerge w:val="restart"/>
            <w:shd w:val="clear" w:color="auto" w:fill="auto"/>
            <w:tcMar>
              <w:top w:w="15" w:type="dxa"/>
              <w:left w:w="15" w:type="dxa"/>
              <w:bottom w:w="0" w:type="dxa"/>
              <w:right w:w="15" w:type="dxa"/>
            </w:tcMar>
            <w:vAlign w:val="center"/>
          </w:tcPr>
          <w:p>
            <w:pPr>
              <w:pStyle w:val="31"/>
              <w:rPr>
                <w:color w:val="0070C0"/>
              </w:rPr>
            </w:pPr>
            <w:r>
              <w:rPr>
                <w:rFonts w:hint="eastAsia"/>
              </w:rPr>
              <w:t>规模</w:t>
            </w:r>
          </w:p>
        </w:tc>
        <w:tc>
          <w:tcPr>
            <w:tcW w:w="3995" w:type="dxa"/>
            <w:shd w:val="clear" w:color="auto" w:fill="auto"/>
            <w:tcMar>
              <w:top w:w="15" w:type="dxa"/>
              <w:left w:w="15" w:type="dxa"/>
              <w:bottom w:w="0" w:type="dxa"/>
              <w:right w:w="15" w:type="dxa"/>
            </w:tcMar>
            <w:vAlign w:val="center"/>
          </w:tcPr>
          <w:p>
            <w:pPr>
              <w:pStyle w:val="31"/>
              <w:rPr>
                <w:color w:val="0070C0"/>
              </w:rPr>
            </w:pPr>
            <w:r>
              <w:rPr>
                <w:rFonts w:hint="eastAsia"/>
              </w:rPr>
              <w:t>生产、处置或储存能力增大</w:t>
            </w:r>
            <w:r>
              <w:t>30</w:t>
            </w:r>
            <w:r>
              <w:rPr>
                <w:rFonts w:hint="eastAsia"/>
              </w:rPr>
              <w:t>%及以上的</w:t>
            </w:r>
          </w:p>
        </w:tc>
        <w:tc>
          <w:tcPr>
            <w:tcW w:w="2651" w:type="dxa"/>
            <w:shd w:val="clear" w:color="auto" w:fill="auto"/>
            <w:tcMar>
              <w:top w:w="15" w:type="dxa"/>
              <w:left w:w="15" w:type="dxa"/>
              <w:bottom w:w="0" w:type="dxa"/>
              <w:right w:w="15" w:type="dxa"/>
            </w:tcMar>
            <w:vAlign w:val="center"/>
          </w:tcPr>
          <w:p>
            <w:pPr>
              <w:pStyle w:val="31"/>
              <w:rPr>
                <w:color w:val="0070C0"/>
              </w:rPr>
            </w:pPr>
            <w:r>
              <w:rPr>
                <w:rFonts w:hint="eastAsia"/>
              </w:rPr>
              <w:t>无变化</w:t>
            </w:r>
          </w:p>
        </w:tc>
        <w:tc>
          <w:tcPr>
            <w:tcW w:w="847" w:type="dxa"/>
            <w:shd w:val="clear" w:color="auto" w:fill="auto"/>
            <w:tcMar>
              <w:top w:w="15" w:type="dxa"/>
              <w:left w:w="15" w:type="dxa"/>
              <w:bottom w:w="0" w:type="dxa"/>
              <w:right w:w="15" w:type="dxa"/>
            </w:tcMar>
            <w:vAlign w:val="center"/>
          </w:tcPr>
          <w:p>
            <w:pPr>
              <w:pStyle w:val="31"/>
            </w:pPr>
            <w:r>
              <w:rPr>
                <w:rFonts w:hint="eastAsia"/>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335" w:type="dxa"/>
            <w:shd w:val="clear" w:color="auto" w:fill="auto"/>
            <w:tcMar>
              <w:top w:w="15" w:type="dxa"/>
              <w:left w:w="15" w:type="dxa"/>
              <w:bottom w:w="0" w:type="dxa"/>
              <w:right w:w="15" w:type="dxa"/>
            </w:tcMar>
            <w:vAlign w:val="center"/>
          </w:tcPr>
          <w:p>
            <w:pPr>
              <w:pStyle w:val="31"/>
              <w:rPr>
                <w:color w:val="0070C0"/>
              </w:rPr>
            </w:pPr>
            <w:r>
              <w:t>3</w:t>
            </w:r>
          </w:p>
        </w:tc>
        <w:tc>
          <w:tcPr>
            <w:tcW w:w="508" w:type="dxa"/>
            <w:vMerge w:val="continue"/>
            <w:shd w:val="clear" w:color="auto" w:fill="auto"/>
            <w:tcMar>
              <w:top w:w="15" w:type="dxa"/>
              <w:left w:w="15" w:type="dxa"/>
              <w:bottom w:w="0" w:type="dxa"/>
              <w:right w:w="15" w:type="dxa"/>
            </w:tcMar>
            <w:vAlign w:val="center"/>
          </w:tcPr>
          <w:p>
            <w:pPr>
              <w:pStyle w:val="31"/>
              <w:rPr>
                <w:color w:val="0070C0"/>
              </w:rPr>
            </w:pPr>
          </w:p>
        </w:tc>
        <w:tc>
          <w:tcPr>
            <w:tcW w:w="3995" w:type="dxa"/>
            <w:shd w:val="clear" w:color="auto" w:fill="auto"/>
            <w:tcMar>
              <w:top w:w="15" w:type="dxa"/>
              <w:left w:w="15" w:type="dxa"/>
              <w:bottom w:w="0" w:type="dxa"/>
              <w:right w:w="15" w:type="dxa"/>
            </w:tcMar>
            <w:vAlign w:val="center"/>
          </w:tcPr>
          <w:p>
            <w:pPr>
              <w:pStyle w:val="31"/>
              <w:rPr>
                <w:color w:val="0070C0"/>
              </w:rPr>
            </w:pPr>
            <w:r>
              <w:rPr>
                <w:rFonts w:hint="eastAsia"/>
              </w:rPr>
              <w:t>生产、处置或储存能力增大，导致废水第一类污染物排放量增加的</w:t>
            </w:r>
          </w:p>
        </w:tc>
        <w:tc>
          <w:tcPr>
            <w:tcW w:w="2651" w:type="dxa"/>
            <w:shd w:val="clear" w:color="auto" w:fill="auto"/>
            <w:tcMar>
              <w:top w:w="15" w:type="dxa"/>
              <w:left w:w="15" w:type="dxa"/>
              <w:bottom w:w="0" w:type="dxa"/>
              <w:right w:w="15" w:type="dxa"/>
            </w:tcMar>
            <w:vAlign w:val="center"/>
          </w:tcPr>
          <w:p>
            <w:pPr>
              <w:pStyle w:val="31"/>
              <w:rPr>
                <w:color w:val="0070C0"/>
              </w:rPr>
            </w:pPr>
            <w:r>
              <w:rPr>
                <w:rFonts w:hint="eastAsia"/>
              </w:rPr>
              <w:t>无变化</w:t>
            </w:r>
          </w:p>
        </w:tc>
        <w:tc>
          <w:tcPr>
            <w:tcW w:w="847" w:type="dxa"/>
            <w:shd w:val="clear" w:color="auto" w:fill="auto"/>
            <w:tcMar>
              <w:top w:w="15" w:type="dxa"/>
              <w:left w:w="15" w:type="dxa"/>
              <w:bottom w:w="0" w:type="dxa"/>
              <w:right w:w="15" w:type="dxa"/>
            </w:tcMar>
            <w:vAlign w:val="center"/>
          </w:tcPr>
          <w:p>
            <w:pPr>
              <w:pStyle w:val="31"/>
            </w:pPr>
            <w:r>
              <w:rPr>
                <w:rFonts w:hint="eastAsia"/>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335" w:type="dxa"/>
            <w:shd w:val="clear" w:color="auto" w:fill="auto"/>
            <w:tcMar>
              <w:top w:w="15" w:type="dxa"/>
              <w:left w:w="15" w:type="dxa"/>
              <w:bottom w:w="0" w:type="dxa"/>
              <w:right w:w="15" w:type="dxa"/>
            </w:tcMar>
            <w:vAlign w:val="center"/>
          </w:tcPr>
          <w:p>
            <w:pPr>
              <w:pStyle w:val="31"/>
              <w:rPr>
                <w:color w:val="0070C0"/>
              </w:rPr>
            </w:pPr>
            <w:r>
              <w:t>4</w:t>
            </w:r>
          </w:p>
        </w:tc>
        <w:tc>
          <w:tcPr>
            <w:tcW w:w="508" w:type="dxa"/>
            <w:vMerge w:val="continue"/>
            <w:shd w:val="clear" w:color="auto" w:fill="auto"/>
            <w:tcMar>
              <w:top w:w="15" w:type="dxa"/>
              <w:left w:w="15" w:type="dxa"/>
              <w:bottom w:w="0" w:type="dxa"/>
              <w:right w:w="15" w:type="dxa"/>
            </w:tcMar>
            <w:vAlign w:val="center"/>
          </w:tcPr>
          <w:p>
            <w:pPr>
              <w:pStyle w:val="31"/>
              <w:rPr>
                <w:color w:val="0070C0"/>
              </w:rPr>
            </w:pPr>
          </w:p>
        </w:tc>
        <w:tc>
          <w:tcPr>
            <w:tcW w:w="3995" w:type="dxa"/>
            <w:shd w:val="clear" w:color="auto" w:fill="auto"/>
            <w:tcMar>
              <w:top w:w="15" w:type="dxa"/>
              <w:left w:w="15" w:type="dxa"/>
              <w:bottom w:w="0" w:type="dxa"/>
              <w:right w:w="15" w:type="dxa"/>
            </w:tcMar>
            <w:vAlign w:val="center"/>
          </w:tcPr>
          <w:p>
            <w:pPr>
              <w:pStyle w:val="31"/>
              <w:rPr>
                <w:color w:val="0070C0"/>
              </w:rPr>
            </w:pPr>
            <w:r>
              <w:rPr>
                <w:rFonts w:hint="eastAsia"/>
              </w:rPr>
              <w:t>位于环境质量不达标区的建设项目生产、处置或储存能力增大，导致相应污染物排放量增加的（细颗粒物不达标区，相应污染物为二氧化硫、氮氧化物、可吸入颗粒物、挥发性有机物；臭氧不达标区，相应污染物为氮氧化物、挥发性有机物；其他大气、水污染物因子不达标区，相应污染物为超标污染因子）；位于达标区的建设项目生产、处置或储存能力增大，导致污染物排放量增加10% 及以上的。</w:t>
            </w:r>
          </w:p>
        </w:tc>
        <w:tc>
          <w:tcPr>
            <w:tcW w:w="2651" w:type="dxa"/>
            <w:shd w:val="clear" w:color="auto" w:fill="auto"/>
            <w:tcMar>
              <w:top w:w="15" w:type="dxa"/>
              <w:left w:w="15" w:type="dxa"/>
              <w:bottom w:w="0" w:type="dxa"/>
              <w:right w:w="15" w:type="dxa"/>
            </w:tcMar>
            <w:vAlign w:val="center"/>
          </w:tcPr>
          <w:p>
            <w:pPr>
              <w:pStyle w:val="31"/>
              <w:rPr>
                <w:color w:val="0070C0"/>
              </w:rPr>
            </w:pPr>
            <w:r>
              <w:rPr>
                <w:rFonts w:hint="eastAsia"/>
              </w:rPr>
              <w:t>无变化</w:t>
            </w:r>
          </w:p>
        </w:tc>
        <w:tc>
          <w:tcPr>
            <w:tcW w:w="847" w:type="dxa"/>
            <w:shd w:val="clear" w:color="auto" w:fill="auto"/>
            <w:tcMar>
              <w:top w:w="15" w:type="dxa"/>
              <w:left w:w="15" w:type="dxa"/>
              <w:bottom w:w="0" w:type="dxa"/>
              <w:right w:w="15" w:type="dxa"/>
            </w:tcMar>
            <w:vAlign w:val="center"/>
          </w:tcPr>
          <w:p>
            <w:pPr>
              <w:pStyle w:val="31"/>
            </w:pPr>
            <w:r>
              <w:rPr>
                <w:rFonts w:hint="eastAsia"/>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335" w:type="dxa"/>
            <w:shd w:val="clear" w:color="auto" w:fill="auto"/>
            <w:tcMar>
              <w:top w:w="15" w:type="dxa"/>
              <w:left w:w="15" w:type="dxa"/>
              <w:bottom w:w="0" w:type="dxa"/>
              <w:right w:w="15" w:type="dxa"/>
            </w:tcMar>
            <w:vAlign w:val="center"/>
          </w:tcPr>
          <w:p>
            <w:pPr>
              <w:pStyle w:val="31"/>
              <w:rPr>
                <w:color w:val="0070C0"/>
              </w:rPr>
            </w:pPr>
            <w:r>
              <w:t>5</w:t>
            </w:r>
          </w:p>
        </w:tc>
        <w:tc>
          <w:tcPr>
            <w:tcW w:w="508" w:type="dxa"/>
            <w:shd w:val="clear" w:color="auto" w:fill="auto"/>
            <w:tcMar>
              <w:top w:w="15" w:type="dxa"/>
              <w:left w:w="15" w:type="dxa"/>
              <w:bottom w:w="0" w:type="dxa"/>
              <w:right w:w="15" w:type="dxa"/>
            </w:tcMar>
            <w:vAlign w:val="center"/>
          </w:tcPr>
          <w:p>
            <w:pPr>
              <w:pStyle w:val="31"/>
              <w:rPr>
                <w:color w:val="0070C0"/>
              </w:rPr>
            </w:pPr>
            <w:r>
              <w:rPr>
                <w:rFonts w:hint="eastAsia"/>
              </w:rPr>
              <w:t>建设地点</w:t>
            </w:r>
          </w:p>
        </w:tc>
        <w:tc>
          <w:tcPr>
            <w:tcW w:w="3995" w:type="dxa"/>
            <w:shd w:val="clear" w:color="auto" w:fill="auto"/>
            <w:tcMar>
              <w:top w:w="15" w:type="dxa"/>
              <w:left w:w="15" w:type="dxa"/>
              <w:bottom w:w="0" w:type="dxa"/>
              <w:right w:w="15" w:type="dxa"/>
            </w:tcMar>
            <w:vAlign w:val="center"/>
          </w:tcPr>
          <w:p>
            <w:pPr>
              <w:pStyle w:val="31"/>
              <w:rPr>
                <w:color w:val="0070C0"/>
              </w:rPr>
            </w:pPr>
            <w:r>
              <w:rPr>
                <w:rFonts w:hint="eastAsia"/>
              </w:rPr>
              <w:t>重新选址；在原厂址附近调整（包括总平面布置变化）导致环境防护距离范围变化且新增敏感点的</w:t>
            </w:r>
          </w:p>
        </w:tc>
        <w:tc>
          <w:tcPr>
            <w:tcW w:w="2651" w:type="dxa"/>
            <w:shd w:val="clear" w:color="auto" w:fill="auto"/>
            <w:tcMar>
              <w:top w:w="15" w:type="dxa"/>
              <w:left w:w="15" w:type="dxa"/>
              <w:bottom w:w="0" w:type="dxa"/>
              <w:right w:w="15" w:type="dxa"/>
            </w:tcMar>
            <w:vAlign w:val="center"/>
          </w:tcPr>
          <w:p>
            <w:pPr>
              <w:pStyle w:val="31"/>
              <w:rPr>
                <w:color w:val="0070C0"/>
              </w:rPr>
            </w:pPr>
            <w:r>
              <w:rPr>
                <w:rFonts w:hint="eastAsia"/>
              </w:rPr>
              <w:t>无变化</w:t>
            </w:r>
          </w:p>
        </w:tc>
        <w:tc>
          <w:tcPr>
            <w:tcW w:w="847" w:type="dxa"/>
            <w:shd w:val="clear" w:color="auto" w:fill="auto"/>
            <w:tcMar>
              <w:top w:w="15" w:type="dxa"/>
              <w:left w:w="15" w:type="dxa"/>
              <w:bottom w:w="0" w:type="dxa"/>
              <w:right w:w="15" w:type="dxa"/>
            </w:tcMar>
            <w:vAlign w:val="center"/>
          </w:tcPr>
          <w:p>
            <w:pPr>
              <w:pStyle w:val="31"/>
            </w:pPr>
            <w:r>
              <w:rPr>
                <w:rFonts w:hint="eastAsia"/>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335" w:type="dxa"/>
            <w:shd w:val="clear" w:color="auto" w:fill="auto"/>
            <w:tcMar>
              <w:top w:w="15" w:type="dxa"/>
              <w:left w:w="15" w:type="dxa"/>
              <w:bottom w:w="0" w:type="dxa"/>
              <w:right w:w="15" w:type="dxa"/>
            </w:tcMar>
            <w:vAlign w:val="center"/>
          </w:tcPr>
          <w:p>
            <w:pPr>
              <w:pStyle w:val="31"/>
              <w:rPr>
                <w:color w:val="0070C0"/>
              </w:rPr>
            </w:pPr>
            <w:r>
              <w:t>6</w:t>
            </w:r>
          </w:p>
        </w:tc>
        <w:tc>
          <w:tcPr>
            <w:tcW w:w="508" w:type="dxa"/>
            <w:vMerge w:val="restart"/>
            <w:shd w:val="clear" w:color="auto" w:fill="auto"/>
            <w:tcMar>
              <w:top w:w="15" w:type="dxa"/>
              <w:left w:w="15" w:type="dxa"/>
              <w:bottom w:w="0" w:type="dxa"/>
              <w:right w:w="15" w:type="dxa"/>
            </w:tcMar>
            <w:vAlign w:val="center"/>
          </w:tcPr>
          <w:p>
            <w:pPr>
              <w:pStyle w:val="31"/>
              <w:rPr>
                <w:color w:val="0070C0"/>
              </w:rPr>
            </w:pPr>
            <w:r>
              <w:rPr>
                <w:rFonts w:hint="eastAsia"/>
              </w:rPr>
              <w:t>生产工艺</w:t>
            </w:r>
          </w:p>
        </w:tc>
        <w:tc>
          <w:tcPr>
            <w:tcW w:w="3995" w:type="dxa"/>
            <w:shd w:val="clear" w:color="auto" w:fill="auto"/>
            <w:tcMar>
              <w:top w:w="15" w:type="dxa"/>
              <w:left w:w="15" w:type="dxa"/>
              <w:bottom w:w="0" w:type="dxa"/>
              <w:right w:w="15" w:type="dxa"/>
            </w:tcMar>
            <w:vAlign w:val="center"/>
          </w:tcPr>
          <w:p>
            <w:pPr>
              <w:pStyle w:val="31"/>
              <w:rPr>
                <w:color w:val="0070C0"/>
              </w:rPr>
            </w:pPr>
            <w:r>
              <w:rPr>
                <w:rFonts w:hint="eastAsia"/>
              </w:rPr>
              <w:t>新增排放污染物种类的（毒性、挥发性降低的除外）</w:t>
            </w:r>
          </w:p>
        </w:tc>
        <w:tc>
          <w:tcPr>
            <w:tcW w:w="2651" w:type="dxa"/>
            <w:shd w:val="clear" w:color="auto" w:fill="auto"/>
            <w:tcMar>
              <w:top w:w="15" w:type="dxa"/>
              <w:left w:w="15" w:type="dxa"/>
              <w:bottom w:w="0" w:type="dxa"/>
              <w:right w:w="15" w:type="dxa"/>
            </w:tcMar>
            <w:vAlign w:val="center"/>
          </w:tcPr>
          <w:p>
            <w:pPr>
              <w:pStyle w:val="31"/>
              <w:rPr>
                <w:color w:val="0070C0"/>
              </w:rPr>
            </w:pPr>
            <w:r>
              <w:rPr>
                <w:rFonts w:hint="eastAsia"/>
                <w:szCs w:val="21"/>
              </w:rPr>
              <w:t>项目取消了设置备用发电机，故没有</w:t>
            </w:r>
            <w:r>
              <w:rPr>
                <w:rFonts w:cs="Times New Roman"/>
                <w:szCs w:val="21"/>
              </w:rPr>
              <w:t>备用发电机尾气</w:t>
            </w:r>
            <w:r>
              <w:rPr>
                <w:rFonts w:hint="eastAsia"/>
                <w:szCs w:val="21"/>
              </w:rPr>
              <w:t>产生</w:t>
            </w:r>
          </w:p>
        </w:tc>
        <w:tc>
          <w:tcPr>
            <w:tcW w:w="847" w:type="dxa"/>
            <w:shd w:val="clear" w:color="auto" w:fill="auto"/>
            <w:tcMar>
              <w:top w:w="15" w:type="dxa"/>
              <w:left w:w="15" w:type="dxa"/>
              <w:bottom w:w="0" w:type="dxa"/>
              <w:right w:w="15" w:type="dxa"/>
            </w:tcMar>
            <w:vAlign w:val="center"/>
          </w:tcPr>
          <w:p>
            <w:pPr>
              <w:pStyle w:val="31"/>
            </w:pPr>
            <w:r>
              <w:rPr>
                <w:rFonts w:hint="eastAsia"/>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335" w:type="dxa"/>
            <w:shd w:val="clear" w:color="auto" w:fill="auto"/>
            <w:tcMar>
              <w:top w:w="15" w:type="dxa"/>
              <w:left w:w="15" w:type="dxa"/>
              <w:bottom w:w="0" w:type="dxa"/>
              <w:right w:w="15" w:type="dxa"/>
            </w:tcMar>
            <w:vAlign w:val="center"/>
          </w:tcPr>
          <w:p>
            <w:pPr>
              <w:pStyle w:val="31"/>
              <w:rPr>
                <w:color w:val="0070C0"/>
              </w:rPr>
            </w:pPr>
            <w:r>
              <w:t>7</w:t>
            </w:r>
          </w:p>
        </w:tc>
        <w:tc>
          <w:tcPr>
            <w:tcW w:w="508" w:type="dxa"/>
            <w:vMerge w:val="continue"/>
            <w:shd w:val="clear" w:color="auto" w:fill="auto"/>
            <w:tcMar>
              <w:top w:w="15" w:type="dxa"/>
              <w:left w:w="15" w:type="dxa"/>
              <w:bottom w:w="0" w:type="dxa"/>
              <w:right w:w="15" w:type="dxa"/>
            </w:tcMar>
            <w:vAlign w:val="center"/>
          </w:tcPr>
          <w:p>
            <w:pPr>
              <w:pStyle w:val="31"/>
              <w:rPr>
                <w:color w:val="0070C0"/>
              </w:rPr>
            </w:pPr>
          </w:p>
        </w:tc>
        <w:tc>
          <w:tcPr>
            <w:tcW w:w="3995" w:type="dxa"/>
            <w:shd w:val="clear" w:color="auto" w:fill="auto"/>
            <w:tcMar>
              <w:top w:w="15" w:type="dxa"/>
              <w:left w:w="15" w:type="dxa"/>
              <w:bottom w:w="0" w:type="dxa"/>
              <w:right w:w="15" w:type="dxa"/>
            </w:tcMar>
            <w:vAlign w:val="center"/>
          </w:tcPr>
          <w:p>
            <w:pPr>
              <w:pStyle w:val="31"/>
              <w:rPr>
                <w:color w:val="0070C0"/>
              </w:rPr>
            </w:pPr>
            <w:r>
              <w:t>位于环境质量不达标区的建设项目相应污染物排放量增</w:t>
            </w:r>
            <w:r>
              <w:rPr>
                <w:rFonts w:hint="eastAsia"/>
              </w:rPr>
              <w:t>加的</w:t>
            </w:r>
          </w:p>
        </w:tc>
        <w:tc>
          <w:tcPr>
            <w:tcW w:w="2651" w:type="dxa"/>
            <w:shd w:val="clear" w:color="auto" w:fill="auto"/>
            <w:tcMar>
              <w:top w:w="15" w:type="dxa"/>
              <w:left w:w="15" w:type="dxa"/>
              <w:bottom w:w="0" w:type="dxa"/>
              <w:right w:w="15" w:type="dxa"/>
            </w:tcMar>
            <w:vAlign w:val="center"/>
          </w:tcPr>
          <w:p>
            <w:pPr>
              <w:pStyle w:val="31"/>
              <w:rPr>
                <w:color w:val="0070C0"/>
              </w:rPr>
            </w:pPr>
            <w:r>
              <w:rPr>
                <w:rFonts w:hint="eastAsia"/>
              </w:rPr>
              <w:t>不涉及</w:t>
            </w:r>
          </w:p>
        </w:tc>
        <w:tc>
          <w:tcPr>
            <w:tcW w:w="847" w:type="dxa"/>
            <w:shd w:val="clear" w:color="auto" w:fill="auto"/>
            <w:tcMar>
              <w:top w:w="15" w:type="dxa"/>
              <w:left w:w="15" w:type="dxa"/>
              <w:bottom w:w="0" w:type="dxa"/>
              <w:right w:w="15" w:type="dxa"/>
            </w:tcMar>
            <w:vAlign w:val="center"/>
          </w:tcPr>
          <w:p>
            <w:pPr>
              <w:pStyle w:val="31"/>
            </w:pPr>
            <w:r>
              <w:rPr>
                <w:rFonts w:hint="eastAsia"/>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335" w:type="dxa"/>
            <w:shd w:val="clear" w:color="auto" w:fill="auto"/>
            <w:tcMar>
              <w:top w:w="15" w:type="dxa"/>
              <w:left w:w="15" w:type="dxa"/>
              <w:bottom w:w="0" w:type="dxa"/>
              <w:right w:w="15" w:type="dxa"/>
            </w:tcMar>
            <w:vAlign w:val="center"/>
          </w:tcPr>
          <w:p>
            <w:pPr>
              <w:pStyle w:val="31"/>
              <w:rPr>
                <w:color w:val="0070C0"/>
              </w:rPr>
            </w:pPr>
            <w:r>
              <w:t>8</w:t>
            </w:r>
          </w:p>
        </w:tc>
        <w:tc>
          <w:tcPr>
            <w:tcW w:w="508" w:type="dxa"/>
            <w:vMerge w:val="continue"/>
            <w:shd w:val="clear" w:color="auto" w:fill="auto"/>
            <w:tcMar>
              <w:top w:w="15" w:type="dxa"/>
              <w:left w:w="15" w:type="dxa"/>
              <w:bottom w:w="0" w:type="dxa"/>
              <w:right w:w="15" w:type="dxa"/>
            </w:tcMar>
            <w:vAlign w:val="center"/>
          </w:tcPr>
          <w:p>
            <w:pPr>
              <w:pStyle w:val="31"/>
              <w:rPr>
                <w:color w:val="0070C0"/>
              </w:rPr>
            </w:pPr>
          </w:p>
        </w:tc>
        <w:tc>
          <w:tcPr>
            <w:tcW w:w="3995" w:type="dxa"/>
            <w:shd w:val="clear" w:color="auto" w:fill="auto"/>
            <w:tcMar>
              <w:top w:w="15" w:type="dxa"/>
              <w:left w:w="15" w:type="dxa"/>
              <w:bottom w:w="0" w:type="dxa"/>
              <w:right w:w="15" w:type="dxa"/>
            </w:tcMar>
            <w:vAlign w:val="center"/>
          </w:tcPr>
          <w:p>
            <w:pPr>
              <w:pStyle w:val="31"/>
              <w:rPr>
                <w:color w:val="0070C0"/>
              </w:rPr>
            </w:pPr>
            <w:r>
              <w:t>废水第一类污染物排放量增加的</w:t>
            </w:r>
          </w:p>
        </w:tc>
        <w:tc>
          <w:tcPr>
            <w:tcW w:w="2651" w:type="dxa"/>
            <w:shd w:val="clear" w:color="auto" w:fill="auto"/>
            <w:tcMar>
              <w:top w:w="15" w:type="dxa"/>
              <w:left w:w="15" w:type="dxa"/>
              <w:bottom w:w="0" w:type="dxa"/>
              <w:right w:w="15" w:type="dxa"/>
            </w:tcMar>
            <w:vAlign w:val="center"/>
          </w:tcPr>
          <w:p>
            <w:pPr>
              <w:pStyle w:val="31"/>
              <w:rPr>
                <w:color w:val="0070C0"/>
              </w:rPr>
            </w:pPr>
            <w:r>
              <w:rPr>
                <w:rFonts w:hint="eastAsia"/>
              </w:rPr>
              <w:t>不涉及</w:t>
            </w:r>
          </w:p>
        </w:tc>
        <w:tc>
          <w:tcPr>
            <w:tcW w:w="847" w:type="dxa"/>
            <w:shd w:val="clear" w:color="auto" w:fill="auto"/>
            <w:tcMar>
              <w:top w:w="15" w:type="dxa"/>
              <w:left w:w="15" w:type="dxa"/>
              <w:bottom w:w="0" w:type="dxa"/>
              <w:right w:w="15" w:type="dxa"/>
            </w:tcMar>
            <w:vAlign w:val="center"/>
          </w:tcPr>
          <w:p>
            <w:pPr>
              <w:pStyle w:val="31"/>
            </w:pPr>
            <w:r>
              <w:rPr>
                <w:rFonts w:hint="eastAsia"/>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335" w:type="dxa"/>
            <w:shd w:val="clear" w:color="auto" w:fill="auto"/>
            <w:tcMar>
              <w:top w:w="15" w:type="dxa"/>
              <w:left w:w="15" w:type="dxa"/>
              <w:bottom w:w="0" w:type="dxa"/>
              <w:right w:w="15" w:type="dxa"/>
            </w:tcMar>
            <w:vAlign w:val="center"/>
          </w:tcPr>
          <w:p>
            <w:pPr>
              <w:pStyle w:val="31"/>
              <w:rPr>
                <w:color w:val="0070C0"/>
              </w:rPr>
            </w:pPr>
            <w:r>
              <w:t>9</w:t>
            </w:r>
          </w:p>
        </w:tc>
        <w:tc>
          <w:tcPr>
            <w:tcW w:w="508" w:type="dxa"/>
            <w:vMerge w:val="continue"/>
            <w:shd w:val="clear" w:color="auto" w:fill="auto"/>
            <w:tcMar>
              <w:top w:w="15" w:type="dxa"/>
              <w:left w:w="15" w:type="dxa"/>
              <w:bottom w:w="0" w:type="dxa"/>
              <w:right w:w="15" w:type="dxa"/>
            </w:tcMar>
            <w:vAlign w:val="center"/>
          </w:tcPr>
          <w:p>
            <w:pPr>
              <w:pStyle w:val="31"/>
              <w:rPr>
                <w:color w:val="0070C0"/>
              </w:rPr>
            </w:pPr>
          </w:p>
        </w:tc>
        <w:tc>
          <w:tcPr>
            <w:tcW w:w="3995" w:type="dxa"/>
            <w:shd w:val="clear" w:color="auto" w:fill="auto"/>
            <w:tcMar>
              <w:top w:w="15" w:type="dxa"/>
              <w:left w:w="15" w:type="dxa"/>
              <w:bottom w:w="0" w:type="dxa"/>
              <w:right w:w="15" w:type="dxa"/>
            </w:tcMar>
            <w:vAlign w:val="center"/>
          </w:tcPr>
          <w:p>
            <w:pPr>
              <w:pStyle w:val="31"/>
              <w:rPr>
                <w:color w:val="0070C0"/>
              </w:rPr>
            </w:pPr>
            <w:r>
              <w:t>其他污染物排放量增加10% 及以上的</w:t>
            </w:r>
          </w:p>
        </w:tc>
        <w:tc>
          <w:tcPr>
            <w:tcW w:w="2651" w:type="dxa"/>
            <w:shd w:val="clear" w:color="auto" w:fill="auto"/>
            <w:tcMar>
              <w:top w:w="15" w:type="dxa"/>
              <w:left w:w="15" w:type="dxa"/>
              <w:bottom w:w="0" w:type="dxa"/>
              <w:right w:w="15" w:type="dxa"/>
            </w:tcMar>
            <w:vAlign w:val="center"/>
          </w:tcPr>
          <w:p>
            <w:pPr>
              <w:pStyle w:val="31"/>
              <w:rPr>
                <w:color w:val="0070C0"/>
              </w:rPr>
            </w:pPr>
            <w:r>
              <w:rPr>
                <w:rFonts w:hint="eastAsia"/>
              </w:rPr>
              <w:t>无变化</w:t>
            </w:r>
          </w:p>
        </w:tc>
        <w:tc>
          <w:tcPr>
            <w:tcW w:w="847" w:type="dxa"/>
            <w:shd w:val="clear" w:color="auto" w:fill="auto"/>
            <w:tcMar>
              <w:top w:w="15" w:type="dxa"/>
              <w:left w:w="15" w:type="dxa"/>
              <w:bottom w:w="0" w:type="dxa"/>
              <w:right w:w="15" w:type="dxa"/>
            </w:tcMar>
            <w:vAlign w:val="center"/>
          </w:tcPr>
          <w:p>
            <w:pPr>
              <w:pStyle w:val="31"/>
            </w:pPr>
            <w:r>
              <w:rPr>
                <w:rFonts w:hint="eastAsia"/>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335" w:type="dxa"/>
            <w:shd w:val="clear" w:color="auto" w:fill="auto"/>
            <w:tcMar>
              <w:top w:w="15" w:type="dxa"/>
              <w:left w:w="15" w:type="dxa"/>
              <w:bottom w:w="0" w:type="dxa"/>
              <w:right w:w="15" w:type="dxa"/>
            </w:tcMar>
            <w:vAlign w:val="center"/>
          </w:tcPr>
          <w:p>
            <w:pPr>
              <w:pStyle w:val="31"/>
              <w:rPr>
                <w:color w:val="0070C0"/>
              </w:rPr>
            </w:pPr>
            <w:r>
              <w:t>10</w:t>
            </w:r>
          </w:p>
        </w:tc>
        <w:tc>
          <w:tcPr>
            <w:tcW w:w="508" w:type="dxa"/>
            <w:vMerge w:val="continue"/>
            <w:shd w:val="clear" w:color="auto" w:fill="auto"/>
            <w:tcMar>
              <w:top w:w="15" w:type="dxa"/>
              <w:left w:w="15" w:type="dxa"/>
              <w:bottom w:w="0" w:type="dxa"/>
              <w:right w:w="15" w:type="dxa"/>
            </w:tcMar>
            <w:vAlign w:val="center"/>
          </w:tcPr>
          <w:p>
            <w:pPr>
              <w:pStyle w:val="31"/>
              <w:rPr>
                <w:color w:val="0070C0"/>
              </w:rPr>
            </w:pPr>
          </w:p>
        </w:tc>
        <w:tc>
          <w:tcPr>
            <w:tcW w:w="3995" w:type="dxa"/>
            <w:shd w:val="clear" w:color="auto" w:fill="auto"/>
            <w:tcMar>
              <w:top w:w="15" w:type="dxa"/>
              <w:left w:w="15" w:type="dxa"/>
              <w:bottom w:w="0" w:type="dxa"/>
              <w:right w:w="15" w:type="dxa"/>
            </w:tcMar>
            <w:vAlign w:val="center"/>
          </w:tcPr>
          <w:p>
            <w:pPr>
              <w:pStyle w:val="31"/>
              <w:rPr>
                <w:color w:val="0070C0"/>
              </w:rPr>
            </w:pPr>
            <w:r>
              <w:rPr>
                <w:rFonts w:hint="eastAsia"/>
              </w:rPr>
              <w:t>物料运输、装卸、贮存方式变化，导致大气污染物无组织排放量增加</w:t>
            </w:r>
            <w:r>
              <w:t>10% 及以上的</w:t>
            </w:r>
          </w:p>
        </w:tc>
        <w:tc>
          <w:tcPr>
            <w:tcW w:w="2651" w:type="dxa"/>
            <w:shd w:val="clear" w:color="auto" w:fill="auto"/>
            <w:tcMar>
              <w:top w:w="15" w:type="dxa"/>
              <w:left w:w="15" w:type="dxa"/>
              <w:bottom w:w="0" w:type="dxa"/>
              <w:right w:w="15" w:type="dxa"/>
            </w:tcMar>
            <w:vAlign w:val="center"/>
          </w:tcPr>
          <w:p>
            <w:pPr>
              <w:pStyle w:val="31"/>
              <w:rPr>
                <w:color w:val="0070C0"/>
              </w:rPr>
            </w:pPr>
            <w:r>
              <w:rPr>
                <w:rFonts w:hint="eastAsia"/>
              </w:rPr>
              <w:t>无变化</w:t>
            </w:r>
          </w:p>
        </w:tc>
        <w:tc>
          <w:tcPr>
            <w:tcW w:w="847" w:type="dxa"/>
            <w:shd w:val="clear" w:color="auto" w:fill="auto"/>
            <w:tcMar>
              <w:top w:w="15" w:type="dxa"/>
              <w:left w:w="15" w:type="dxa"/>
              <w:bottom w:w="0" w:type="dxa"/>
              <w:right w:w="15" w:type="dxa"/>
            </w:tcMar>
            <w:vAlign w:val="center"/>
          </w:tcPr>
          <w:p>
            <w:pPr>
              <w:pStyle w:val="31"/>
            </w:pPr>
            <w:r>
              <w:rPr>
                <w:rFonts w:hint="eastAsia"/>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335" w:type="dxa"/>
            <w:shd w:val="clear" w:color="auto" w:fill="auto"/>
            <w:tcMar>
              <w:top w:w="15" w:type="dxa"/>
              <w:left w:w="15" w:type="dxa"/>
              <w:bottom w:w="0" w:type="dxa"/>
              <w:right w:w="15" w:type="dxa"/>
            </w:tcMar>
            <w:vAlign w:val="center"/>
          </w:tcPr>
          <w:p>
            <w:pPr>
              <w:pStyle w:val="31"/>
              <w:rPr>
                <w:color w:val="0070C0"/>
              </w:rPr>
            </w:pPr>
            <w:r>
              <w:rPr>
                <w:rFonts w:hint="eastAsia"/>
              </w:rPr>
              <w:t>1</w:t>
            </w:r>
            <w:r>
              <w:t>1</w:t>
            </w:r>
          </w:p>
        </w:tc>
        <w:tc>
          <w:tcPr>
            <w:tcW w:w="508" w:type="dxa"/>
            <w:vMerge w:val="restart"/>
            <w:shd w:val="clear" w:color="auto" w:fill="auto"/>
            <w:tcMar>
              <w:top w:w="15" w:type="dxa"/>
              <w:left w:w="15" w:type="dxa"/>
              <w:bottom w:w="0" w:type="dxa"/>
              <w:right w:w="15" w:type="dxa"/>
            </w:tcMar>
            <w:vAlign w:val="center"/>
          </w:tcPr>
          <w:p>
            <w:pPr>
              <w:pStyle w:val="31"/>
              <w:rPr>
                <w:color w:val="0070C0"/>
              </w:rPr>
            </w:pPr>
            <w:r>
              <w:rPr>
                <w:rFonts w:hint="eastAsia"/>
              </w:rPr>
              <w:t>环境保护措施</w:t>
            </w:r>
          </w:p>
        </w:tc>
        <w:tc>
          <w:tcPr>
            <w:tcW w:w="3995" w:type="dxa"/>
            <w:shd w:val="clear" w:color="auto" w:fill="auto"/>
            <w:tcMar>
              <w:top w:w="15" w:type="dxa"/>
              <w:left w:w="15" w:type="dxa"/>
              <w:bottom w:w="0" w:type="dxa"/>
              <w:right w:w="15" w:type="dxa"/>
            </w:tcMar>
            <w:vAlign w:val="center"/>
          </w:tcPr>
          <w:p>
            <w:pPr>
              <w:pStyle w:val="31"/>
              <w:rPr>
                <w:color w:val="0070C0"/>
              </w:rPr>
            </w:pPr>
            <w:r>
              <w:rPr>
                <w:rFonts w:hint="eastAsia"/>
              </w:rPr>
              <w:t>废气、废水污染防治措施变化，导致第6 条中所列情形之一（废气无组织排放改为有组织排放、污染防治措施强化或改进的除外）或大气污染物无组织排放量增加10%及以上的。</w:t>
            </w:r>
          </w:p>
        </w:tc>
        <w:tc>
          <w:tcPr>
            <w:tcW w:w="2651" w:type="dxa"/>
            <w:shd w:val="clear" w:color="auto" w:fill="auto"/>
            <w:tcMar>
              <w:top w:w="15" w:type="dxa"/>
              <w:left w:w="15" w:type="dxa"/>
              <w:bottom w:w="0" w:type="dxa"/>
              <w:right w:w="15" w:type="dxa"/>
            </w:tcMar>
            <w:vAlign w:val="center"/>
          </w:tcPr>
          <w:p>
            <w:pPr>
              <w:pStyle w:val="31"/>
              <w:rPr>
                <w:color w:val="0070C0"/>
              </w:rPr>
            </w:pPr>
            <w:r>
              <w:rPr>
                <w:rFonts w:hint="eastAsia"/>
              </w:rPr>
              <w:t>无变化</w:t>
            </w:r>
          </w:p>
        </w:tc>
        <w:tc>
          <w:tcPr>
            <w:tcW w:w="847" w:type="dxa"/>
            <w:shd w:val="clear" w:color="auto" w:fill="auto"/>
            <w:tcMar>
              <w:top w:w="15" w:type="dxa"/>
              <w:left w:w="15" w:type="dxa"/>
              <w:bottom w:w="0" w:type="dxa"/>
              <w:right w:w="15" w:type="dxa"/>
            </w:tcMar>
            <w:vAlign w:val="center"/>
          </w:tcPr>
          <w:p>
            <w:pPr>
              <w:pStyle w:val="31"/>
            </w:pPr>
            <w:r>
              <w:rPr>
                <w:rFonts w:hint="eastAsia"/>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335" w:type="dxa"/>
            <w:shd w:val="clear" w:color="auto" w:fill="auto"/>
            <w:tcMar>
              <w:top w:w="15" w:type="dxa"/>
              <w:left w:w="15" w:type="dxa"/>
              <w:bottom w:w="0" w:type="dxa"/>
              <w:right w:w="15" w:type="dxa"/>
            </w:tcMar>
            <w:vAlign w:val="center"/>
          </w:tcPr>
          <w:p>
            <w:pPr>
              <w:pStyle w:val="31"/>
              <w:rPr>
                <w:color w:val="0070C0"/>
              </w:rPr>
            </w:pPr>
            <w:r>
              <w:rPr>
                <w:rFonts w:hint="eastAsia"/>
              </w:rPr>
              <w:t>1</w:t>
            </w:r>
            <w:r>
              <w:t>2</w:t>
            </w:r>
          </w:p>
        </w:tc>
        <w:tc>
          <w:tcPr>
            <w:tcW w:w="508" w:type="dxa"/>
            <w:vMerge w:val="continue"/>
            <w:shd w:val="clear" w:color="auto" w:fill="auto"/>
            <w:tcMar>
              <w:top w:w="15" w:type="dxa"/>
              <w:left w:w="15" w:type="dxa"/>
              <w:bottom w:w="0" w:type="dxa"/>
              <w:right w:w="15" w:type="dxa"/>
            </w:tcMar>
            <w:vAlign w:val="center"/>
          </w:tcPr>
          <w:p>
            <w:pPr>
              <w:pStyle w:val="31"/>
              <w:rPr>
                <w:color w:val="0070C0"/>
              </w:rPr>
            </w:pPr>
          </w:p>
        </w:tc>
        <w:tc>
          <w:tcPr>
            <w:tcW w:w="3995" w:type="dxa"/>
            <w:shd w:val="clear" w:color="auto" w:fill="auto"/>
            <w:tcMar>
              <w:top w:w="15" w:type="dxa"/>
              <w:left w:w="15" w:type="dxa"/>
              <w:bottom w:w="0" w:type="dxa"/>
              <w:right w:w="15" w:type="dxa"/>
            </w:tcMar>
            <w:vAlign w:val="center"/>
          </w:tcPr>
          <w:p>
            <w:pPr>
              <w:pStyle w:val="31"/>
              <w:rPr>
                <w:color w:val="0070C0"/>
              </w:rPr>
            </w:pPr>
            <w:r>
              <w:t>新增废水直接排放口；废水由间接排放改为直接排放；废</w:t>
            </w:r>
            <w:r>
              <w:rPr>
                <w:rFonts w:hint="eastAsia"/>
              </w:rPr>
              <w:t>水直接排放口位置变化，导致不利环境影响加重的。</w:t>
            </w:r>
          </w:p>
        </w:tc>
        <w:tc>
          <w:tcPr>
            <w:tcW w:w="2651" w:type="dxa"/>
            <w:shd w:val="clear" w:color="auto" w:fill="auto"/>
            <w:tcMar>
              <w:top w:w="15" w:type="dxa"/>
              <w:left w:w="15" w:type="dxa"/>
              <w:bottom w:w="0" w:type="dxa"/>
              <w:right w:w="15" w:type="dxa"/>
            </w:tcMar>
            <w:vAlign w:val="center"/>
          </w:tcPr>
          <w:p>
            <w:pPr>
              <w:pStyle w:val="31"/>
              <w:rPr>
                <w:color w:val="0070C0"/>
              </w:rPr>
            </w:pPr>
            <w:r>
              <w:rPr>
                <w:rFonts w:hint="eastAsia"/>
              </w:rPr>
              <w:t>无变化</w:t>
            </w:r>
          </w:p>
        </w:tc>
        <w:tc>
          <w:tcPr>
            <w:tcW w:w="847" w:type="dxa"/>
            <w:shd w:val="clear" w:color="auto" w:fill="auto"/>
            <w:tcMar>
              <w:top w:w="15" w:type="dxa"/>
              <w:left w:w="15" w:type="dxa"/>
              <w:bottom w:w="0" w:type="dxa"/>
              <w:right w:w="15" w:type="dxa"/>
            </w:tcMar>
            <w:vAlign w:val="center"/>
          </w:tcPr>
          <w:p>
            <w:pPr>
              <w:pStyle w:val="31"/>
            </w:pPr>
            <w:r>
              <w:rPr>
                <w:rFonts w:hint="eastAsia"/>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335" w:type="dxa"/>
            <w:shd w:val="clear" w:color="auto" w:fill="auto"/>
            <w:tcMar>
              <w:top w:w="15" w:type="dxa"/>
              <w:left w:w="15" w:type="dxa"/>
              <w:bottom w:w="0" w:type="dxa"/>
              <w:right w:w="15" w:type="dxa"/>
            </w:tcMar>
            <w:vAlign w:val="center"/>
          </w:tcPr>
          <w:p>
            <w:pPr>
              <w:pStyle w:val="31"/>
              <w:rPr>
                <w:color w:val="0070C0"/>
              </w:rPr>
            </w:pPr>
            <w:r>
              <w:t>13</w:t>
            </w:r>
          </w:p>
        </w:tc>
        <w:tc>
          <w:tcPr>
            <w:tcW w:w="508" w:type="dxa"/>
            <w:vMerge w:val="continue"/>
            <w:shd w:val="clear" w:color="auto" w:fill="auto"/>
            <w:tcMar>
              <w:top w:w="15" w:type="dxa"/>
              <w:left w:w="15" w:type="dxa"/>
              <w:bottom w:w="0" w:type="dxa"/>
              <w:right w:w="15" w:type="dxa"/>
            </w:tcMar>
            <w:vAlign w:val="center"/>
          </w:tcPr>
          <w:p>
            <w:pPr>
              <w:pStyle w:val="31"/>
              <w:rPr>
                <w:color w:val="0070C0"/>
              </w:rPr>
            </w:pPr>
          </w:p>
        </w:tc>
        <w:tc>
          <w:tcPr>
            <w:tcW w:w="3995" w:type="dxa"/>
            <w:shd w:val="clear" w:color="auto" w:fill="auto"/>
            <w:tcMar>
              <w:top w:w="15" w:type="dxa"/>
              <w:left w:w="15" w:type="dxa"/>
              <w:bottom w:w="0" w:type="dxa"/>
              <w:right w:w="15" w:type="dxa"/>
            </w:tcMar>
            <w:vAlign w:val="center"/>
          </w:tcPr>
          <w:p>
            <w:pPr>
              <w:pStyle w:val="31"/>
              <w:rPr>
                <w:color w:val="0070C0"/>
              </w:rPr>
            </w:pPr>
            <w:r>
              <w:t>新增废气主要排放口（废气无组织排放改为有组织排放</w:t>
            </w:r>
            <w:r>
              <w:rPr>
                <w:rFonts w:hint="eastAsia"/>
              </w:rPr>
              <w:t>的除外）；主要排放口排气筒高度降低</w:t>
            </w:r>
            <w:r>
              <w:t>10%及以上的</w:t>
            </w:r>
          </w:p>
        </w:tc>
        <w:tc>
          <w:tcPr>
            <w:tcW w:w="2651" w:type="dxa"/>
            <w:shd w:val="clear" w:color="auto" w:fill="auto"/>
            <w:tcMar>
              <w:top w:w="15" w:type="dxa"/>
              <w:left w:w="15" w:type="dxa"/>
              <w:bottom w:w="0" w:type="dxa"/>
              <w:right w:w="15" w:type="dxa"/>
            </w:tcMar>
            <w:vAlign w:val="center"/>
          </w:tcPr>
          <w:p>
            <w:pPr>
              <w:pStyle w:val="31"/>
              <w:rPr>
                <w:color w:val="0070C0"/>
              </w:rPr>
            </w:pPr>
            <w:r>
              <w:rPr>
                <w:rFonts w:hint="eastAsia"/>
                <w:szCs w:val="21"/>
              </w:rPr>
              <w:t>无变化</w:t>
            </w:r>
          </w:p>
        </w:tc>
        <w:tc>
          <w:tcPr>
            <w:tcW w:w="847" w:type="dxa"/>
            <w:shd w:val="clear" w:color="auto" w:fill="auto"/>
            <w:tcMar>
              <w:top w:w="15" w:type="dxa"/>
              <w:left w:w="15" w:type="dxa"/>
              <w:bottom w:w="0" w:type="dxa"/>
              <w:right w:w="15" w:type="dxa"/>
            </w:tcMar>
            <w:vAlign w:val="center"/>
          </w:tcPr>
          <w:p>
            <w:pPr>
              <w:pStyle w:val="31"/>
            </w:pPr>
            <w:r>
              <w:rPr>
                <w:rFonts w:hint="eastAsia"/>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335" w:type="dxa"/>
            <w:shd w:val="clear" w:color="auto" w:fill="auto"/>
            <w:tcMar>
              <w:top w:w="15" w:type="dxa"/>
              <w:left w:w="15" w:type="dxa"/>
              <w:bottom w:w="0" w:type="dxa"/>
              <w:right w:w="15" w:type="dxa"/>
            </w:tcMar>
            <w:vAlign w:val="center"/>
          </w:tcPr>
          <w:p>
            <w:pPr>
              <w:pStyle w:val="31"/>
              <w:rPr>
                <w:color w:val="0070C0"/>
              </w:rPr>
            </w:pPr>
            <w:r>
              <w:rPr>
                <w:rFonts w:hint="eastAsia"/>
              </w:rPr>
              <w:t>1</w:t>
            </w:r>
            <w:r>
              <w:t>4</w:t>
            </w:r>
          </w:p>
        </w:tc>
        <w:tc>
          <w:tcPr>
            <w:tcW w:w="508" w:type="dxa"/>
            <w:vMerge w:val="continue"/>
            <w:shd w:val="clear" w:color="auto" w:fill="auto"/>
            <w:tcMar>
              <w:top w:w="15" w:type="dxa"/>
              <w:left w:w="15" w:type="dxa"/>
              <w:bottom w:w="0" w:type="dxa"/>
              <w:right w:w="15" w:type="dxa"/>
            </w:tcMar>
            <w:vAlign w:val="center"/>
          </w:tcPr>
          <w:p>
            <w:pPr>
              <w:pStyle w:val="31"/>
              <w:rPr>
                <w:color w:val="0070C0"/>
              </w:rPr>
            </w:pPr>
          </w:p>
        </w:tc>
        <w:tc>
          <w:tcPr>
            <w:tcW w:w="3995" w:type="dxa"/>
            <w:shd w:val="clear" w:color="auto" w:fill="auto"/>
            <w:tcMar>
              <w:top w:w="15" w:type="dxa"/>
              <w:left w:w="15" w:type="dxa"/>
              <w:bottom w:w="0" w:type="dxa"/>
              <w:right w:w="15" w:type="dxa"/>
            </w:tcMar>
            <w:vAlign w:val="center"/>
          </w:tcPr>
          <w:p>
            <w:pPr>
              <w:pStyle w:val="31"/>
              <w:rPr>
                <w:color w:val="0070C0"/>
              </w:rPr>
            </w:pPr>
            <w:r>
              <w:t>噪声、土壤或地下水污染防治措施变化，导致不利环境</w:t>
            </w:r>
            <w:r>
              <w:rPr>
                <w:rFonts w:hint="eastAsia"/>
              </w:rPr>
              <w:t>影响加重的</w:t>
            </w:r>
          </w:p>
        </w:tc>
        <w:tc>
          <w:tcPr>
            <w:tcW w:w="2651" w:type="dxa"/>
            <w:shd w:val="clear" w:color="auto" w:fill="auto"/>
            <w:tcMar>
              <w:top w:w="15" w:type="dxa"/>
              <w:left w:w="15" w:type="dxa"/>
              <w:bottom w:w="0" w:type="dxa"/>
              <w:right w:w="15" w:type="dxa"/>
            </w:tcMar>
            <w:vAlign w:val="center"/>
          </w:tcPr>
          <w:p>
            <w:pPr>
              <w:pStyle w:val="31"/>
              <w:rPr>
                <w:color w:val="0070C0"/>
              </w:rPr>
            </w:pPr>
            <w:r>
              <w:rPr>
                <w:rFonts w:hint="eastAsia"/>
              </w:rPr>
              <w:t>无变化</w:t>
            </w:r>
          </w:p>
        </w:tc>
        <w:tc>
          <w:tcPr>
            <w:tcW w:w="847" w:type="dxa"/>
            <w:shd w:val="clear" w:color="auto" w:fill="auto"/>
            <w:tcMar>
              <w:top w:w="15" w:type="dxa"/>
              <w:left w:w="15" w:type="dxa"/>
              <w:bottom w:w="0" w:type="dxa"/>
              <w:right w:w="15" w:type="dxa"/>
            </w:tcMar>
            <w:vAlign w:val="center"/>
          </w:tcPr>
          <w:p>
            <w:pPr>
              <w:pStyle w:val="31"/>
            </w:pPr>
            <w:r>
              <w:rPr>
                <w:rFonts w:hint="eastAsia"/>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335" w:type="dxa"/>
            <w:shd w:val="clear" w:color="auto" w:fill="auto"/>
            <w:tcMar>
              <w:top w:w="15" w:type="dxa"/>
              <w:left w:w="15" w:type="dxa"/>
              <w:bottom w:w="0" w:type="dxa"/>
              <w:right w:w="15" w:type="dxa"/>
            </w:tcMar>
            <w:vAlign w:val="center"/>
          </w:tcPr>
          <w:p>
            <w:pPr>
              <w:pStyle w:val="31"/>
              <w:rPr>
                <w:color w:val="0070C0"/>
              </w:rPr>
            </w:pPr>
            <w:r>
              <w:rPr>
                <w:rFonts w:hint="eastAsia"/>
              </w:rPr>
              <w:t>1</w:t>
            </w:r>
            <w:r>
              <w:t>5</w:t>
            </w:r>
          </w:p>
        </w:tc>
        <w:tc>
          <w:tcPr>
            <w:tcW w:w="508" w:type="dxa"/>
            <w:vMerge w:val="continue"/>
            <w:shd w:val="clear" w:color="auto" w:fill="auto"/>
            <w:tcMar>
              <w:top w:w="15" w:type="dxa"/>
              <w:left w:w="15" w:type="dxa"/>
              <w:bottom w:w="0" w:type="dxa"/>
              <w:right w:w="15" w:type="dxa"/>
            </w:tcMar>
            <w:vAlign w:val="center"/>
          </w:tcPr>
          <w:p>
            <w:pPr>
              <w:pStyle w:val="31"/>
              <w:rPr>
                <w:color w:val="0070C0"/>
              </w:rPr>
            </w:pPr>
          </w:p>
        </w:tc>
        <w:tc>
          <w:tcPr>
            <w:tcW w:w="3995" w:type="dxa"/>
            <w:shd w:val="clear" w:color="auto" w:fill="auto"/>
            <w:tcMar>
              <w:top w:w="15" w:type="dxa"/>
              <w:left w:w="15" w:type="dxa"/>
              <w:bottom w:w="0" w:type="dxa"/>
              <w:right w:w="15" w:type="dxa"/>
            </w:tcMar>
            <w:vAlign w:val="center"/>
          </w:tcPr>
          <w:p>
            <w:pPr>
              <w:pStyle w:val="31"/>
              <w:rPr>
                <w:color w:val="0070C0"/>
              </w:rPr>
            </w:pPr>
            <w:r>
              <w:rPr>
                <w:rFonts w:hint="eastAsia"/>
              </w:rPr>
              <w:t>固体废物利用处置方式由委托外单位利用处置改为自行利用处置的（自行利用处置设施单独开展环境影响评价的除外）；固体废物自行处置方式变化，导致不利环境影响加重的</w:t>
            </w:r>
          </w:p>
        </w:tc>
        <w:tc>
          <w:tcPr>
            <w:tcW w:w="2651" w:type="dxa"/>
            <w:shd w:val="clear" w:color="auto" w:fill="auto"/>
            <w:tcMar>
              <w:top w:w="15" w:type="dxa"/>
              <w:left w:w="15" w:type="dxa"/>
              <w:bottom w:w="0" w:type="dxa"/>
              <w:right w:w="15" w:type="dxa"/>
            </w:tcMar>
            <w:vAlign w:val="center"/>
          </w:tcPr>
          <w:p>
            <w:pPr>
              <w:pStyle w:val="31"/>
              <w:rPr>
                <w:color w:val="0070C0"/>
              </w:rPr>
            </w:pPr>
            <w:r>
              <w:rPr>
                <w:rFonts w:hint="eastAsia"/>
              </w:rPr>
              <w:t>无变化</w:t>
            </w:r>
          </w:p>
        </w:tc>
        <w:tc>
          <w:tcPr>
            <w:tcW w:w="847" w:type="dxa"/>
            <w:shd w:val="clear" w:color="auto" w:fill="auto"/>
            <w:tcMar>
              <w:top w:w="15" w:type="dxa"/>
              <w:left w:w="15" w:type="dxa"/>
              <w:bottom w:w="0" w:type="dxa"/>
              <w:right w:w="15" w:type="dxa"/>
            </w:tcMar>
            <w:vAlign w:val="center"/>
          </w:tcPr>
          <w:p>
            <w:pPr>
              <w:pStyle w:val="31"/>
            </w:pPr>
            <w:r>
              <w:rPr>
                <w:rFonts w:hint="eastAsia"/>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78" w:hRule="atLeast"/>
        </w:trPr>
        <w:tc>
          <w:tcPr>
            <w:tcW w:w="335" w:type="dxa"/>
            <w:shd w:val="clear" w:color="auto" w:fill="auto"/>
            <w:tcMar>
              <w:top w:w="15" w:type="dxa"/>
              <w:left w:w="15" w:type="dxa"/>
              <w:bottom w:w="0" w:type="dxa"/>
              <w:right w:w="15" w:type="dxa"/>
            </w:tcMar>
            <w:vAlign w:val="center"/>
          </w:tcPr>
          <w:p>
            <w:pPr>
              <w:pStyle w:val="31"/>
              <w:rPr>
                <w:color w:val="0070C0"/>
              </w:rPr>
            </w:pPr>
            <w:r>
              <w:rPr>
                <w:rFonts w:hint="eastAsia"/>
              </w:rPr>
              <w:t>1</w:t>
            </w:r>
            <w:r>
              <w:t>6</w:t>
            </w:r>
          </w:p>
        </w:tc>
        <w:tc>
          <w:tcPr>
            <w:tcW w:w="508" w:type="dxa"/>
            <w:vMerge w:val="continue"/>
            <w:shd w:val="clear" w:color="auto" w:fill="auto"/>
            <w:tcMar>
              <w:top w:w="15" w:type="dxa"/>
              <w:left w:w="15" w:type="dxa"/>
              <w:bottom w:w="0" w:type="dxa"/>
              <w:right w:w="15" w:type="dxa"/>
            </w:tcMar>
            <w:vAlign w:val="center"/>
          </w:tcPr>
          <w:p>
            <w:pPr>
              <w:pStyle w:val="31"/>
              <w:rPr>
                <w:color w:val="0070C0"/>
              </w:rPr>
            </w:pPr>
          </w:p>
        </w:tc>
        <w:tc>
          <w:tcPr>
            <w:tcW w:w="3995" w:type="dxa"/>
            <w:shd w:val="clear" w:color="auto" w:fill="auto"/>
            <w:tcMar>
              <w:top w:w="15" w:type="dxa"/>
              <w:left w:w="15" w:type="dxa"/>
              <w:bottom w:w="0" w:type="dxa"/>
              <w:right w:w="15" w:type="dxa"/>
            </w:tcMar>
            <w:vAlign w:val="center"/>
          </w:tcPr>
          <w:p>
            <w:pPr>
              <w:pStyle w:val="31"/>
              <w:rPr>
                <w:color w:val="0070C0"/>
              </w:rPr>
            </w:pPr>
            <w:r>
              <w:rPr>
                <w:rFonts w:hint="eastAsia"/>
              </w:rPr>
              <w:t>事故废水暂存能力或拦截设施变化，导致环境风险防范能力弱化或降低的</w:t>
            </w:r>
          </w:p>
        </w:tc>
        <w:tc>
          <w:tcPr>
            <w:tcW w:w="2651" w:type="dxa"/>
            <w:shd w:val="clear" w:color="auto" w:fill="auto"/>
            <w:tcMar>
              <w:top w:w="15" w:type="dxa"/>
              <w:left w:w="15" w:type="dxa"/>
              <w:bottom w:w="0" w:type="dxa"/>
              <w:right w:w="15" w:type="dxa"/>
            </w:tcMar>
            <w:vAlign w:val="center"/>
          </w:tcPr>
          <w:p>
            <w:pPr>
              <w:pStyle w:val="31"/>
              <w:rPr>
                <w:color w:val="0070C0"/>
              </w:rPr>
            </w:pPr>
            <w:r>
              <w:rPr>
                <w:rFonts w:hint="eastAsia"/>
              </w:rPr>
              <w:t>无变化</w:t>
            </w:r>
          </w:p>
        </w:tc>
        <w:tc>
          <w:tcPr>
            <w:tcW w:w="847" w:type="dxa"/>
            <w:shd w:val="clear" w:color="auto" w:fill="auto"/>
            <w:tcMar>
              <w:top w:w="15" w:type="dxa"/>
              <w:left w:w="15" w:type="dxa"/>
              <w:bottom w:w="0" w:type="dxa"/>
              <w:right w:w="15" w:type="dxa"/>
            </w:tcMar>
            <w:vAlign w:val="center"/>
          </w:tcPr>
          <w:p>
            <w:pPr>
              <w:pStyle w:val="31"/>
            </w:pPr>
            <w:r>
              <w:rPr>
                <w:rFonts w:hint="eastAsia"/>
              </w:rPr>
              <w:t>否</w:t>
            </w:r>
          </w:p>
        </w:tc>
      </w:tr>
    </w:tbl>
    <w:p>
      <w:pPr>
        <w:pStyle w:val="31"/>
      </w:pPr>
    </w:p>
    <w:p>
      <w:pPr>
        <w:ind w:firstLine="480"/>
      </w:pPr>
      <w:r>
        <w:rPr>
          <w:rFonts w:hint="eastAsia"/>
        </w:rPr>
        <w:t>根据上表，项目建设性质、规模、地点、生产工艺、环境保护措施与项目环境影响报告表及其批复一致，没有重大变动。</w:t>
      </w:r>
    </w:p>
    <w:p>
      <w:pPr>
        <w:widowControl/>
        <w:spacing w:line="240" w:lineRule="auto"/>
        <w:ind w:firstLine="0" w:firstLineChars="0"/>
        <w:jc w:val="left"/>
      </w:pPr>
      <w:r>
        <w:br w:type="page"/>
      </w:r>
    </w:p>
    <w:p>
      <w:pPr>
        <w:pStyle w:val="2"/>
      </w:pPr>
      <w:bookmarkStart w:id="25" w:name="_Toc26595"/>
      <w:r>
        <w:rPr>
          <w:rFonts w:hint="eastAsia"/>
        </w:rPr>
        <w:t>环境保护设施</w:t>
      </w:r>
      <w:bookmarkEnd w:id="25"/>
    </w:p>
    <w:p>
      <w:pPr>
        <w:pStyle w:val="3"/>
      </w:pPr>
      <w:bookmarkStart w:id="26" w:name="_Toc20389"/>
      <w:r>
        <w:rPr>
          <w:rFonts w:hint="eastAsia"/>
        </w:rPr>
        <w:t>污染物治理</w:t>
      </w:r>
      <w:r>
        <w:t>/</w:t>
      </w:r>
      <w:r>
        <w:rPr>
          <w:rFonts w:hint="eastAsia"/>
        </w:rPr>
        <w:t>处置设施</w:t>
      </w:r>
      <w:bookmarkEnd w:id="26"/>
    </w:p>
    <w:p>
      <w:pPr>
        <w:pStyle w:val="4"/>
      </w:pPr>
      <w:bookmarkStart w:id="27" w:name="_Toc164292269"/>
      <w:bookmarkStart w:id="28" w:name="_Toc156491642"/>
      <w:bookmarkStart w:id="29" w:name="_Toc28314"/>
      <w:r>
        <w:t>废水</w:t>
      </w:r>
      <w:bookmarkEnd w:id="27"/>
      <w:bookmarkEnd w:id="28"/>
      <w:bookmarkEnd w:id="29"/>
    </w:p>
    <w:p>
      <w:pPr>
        <w:autoSpaceDE w:val="0"/>
        <w:autoSpaceDN w:val="0"/>
        <w:adjustRightInd w:val="0"/>
        <w:ind w:firstLine="480"/>
        <w:textAlignment w:val="baseline"/>
        <w:rPr>
          <w:bCs/>
        </w:rPr>
      </w:pPr>
      <w:bookmarkStart w:id="30" w:name="_Hlk104195476"/>
      <w:r>
        <w:rPr>
          <w:rFonts w:hint="eastAsia"/>
        </w:rPr>
        <w:t>本项目产生废水主要为生活污水、洗车废水、场地清洗废水、初期雨水，本项目</w:t>
      </w:r>
      <w:r>
        <w:rPr>
          <w:rFonts w:hint="eastAsia"/>
          <w:bCs/>
        </w:rPr>
        <w:t>废水实际产排情况具体见下表4.1-1。</w:t>
      </w:r>
    </w:p>
    <w:p>
      <w:pPr>
        <w:pStyle w:val="11"/>
        <w:ind w:firstLine="382"/>
        <w:jc w:val="center"/>
        <w:rPr>
          <w:b/>
          <w:spacing w:val="-10"/>
          <w:sz w:val="21"/>
          <w:szCs w:val="21"/>
        </w:rPr>
      </w:pPr>
      <w:r>
        <w:rPr>
          <w:rFonts w:hint="eastAsia"/>
          <w:b/>
          <w:spacing w:val="-10"/>
          <w:sz w:val="21"/>
          <w:szCs w:val="21"/>
        </w:rPr>
        <w:t>表 4.1-1  废水产排情况一览表</w:t>
      </w:r>
    </w:p>
    <w:tbl>
      <w:tblPr>
        <w:tblStyle w:val="2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767"/>
        <w:gridCol w:w="1309"/>
        <w:gridCol w:w="4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4" w:type="dxa"/>
          </w:tcPr>
          <w:p>
            <w:pPr>
              <w:spacing w:line="240" w:lineRule="auto"/>
              <w:ind w:firstLine="0" w:firstLineChars="0"/>
              <w:jc w:val="center"/>
              <w:rPr>
                <w:sz w:val="21"/>
                <w:szCs w:val="21"/>
              </w:rPr>
            </w:pPr>
            <w:r>
              <w:rPr>
                <w:sz w:val="21"/>
                <w:szCs w:val="21"/>
              </w:rPr>
              <w:t>序号</w:t>
            </w:r>
          </w:p>
        </w:tc>
        <w:tc>
          <w:tcPr>
            <w:tcW w:w="1767" w:type="dxa"/>
          </w:tcPr>
          <w:p>
            <w:pPr>
              <w:spacing w:line="240" w:lineRule="auto"/>
              <w:ind w:firstLine="0" w:firstLineChars="0"/>
              <w:jc w:val="center"/>
              <w:rPr>
                <w:sz w:val="21"/>
                <w:szCs w:val="21"/>
              </w:rPr>
            </w:pPr>
            <w:r>
              <w:rPr>
                <w:sz w:val="21"/>
                <w:szCs w:val="21"/>
              </w:rPr>
              <w:t>废水名称</w:t>
            </w:r>
          </w:p>
        </w:tc>
        <w:tc>
          <w:tcPr>
            <w:tcW w:w="1309" w:type="dxa"/>
          </w:tcPr>
          <w:p>
            <w:pPr>
              <w:spacing w:line="240" w:lineRule="auto"/>
              <w:ind w:firstLine="0" w:firstLineChars="0"/>
              <w:jc w:val="center"/>
              <w:rPr>
                <w:sz w:val="21"/>
                <w:szCs w:val="21"/>
              </w:rPr>
            </w:pPr>
            <w:r>
              <w:rPr>
                <w:sz w:val="21"/>
                <w:szCs w:val="21"/>
              </w:rPr>
              <w:t>产生量(t/a)</w:t>
            </w:r>
          </w:p>
        </w:tc>
        <w:tc>
          <w:tcPr>
            <w:tcW w:w="4742" w:type="dxa"/>
          </w:tcPr>
          <w:p>
            <w:pPr>
              <w:spacing w:line="240" w:lineRule="auto"/>
              <w:ind w:firstLine="0" w:firstLineChars="0"/>
              <w:jc w:val="center"/>
              <w:rPr>
                <w:sz w:val="21"/>
                <w:szCs w:val="21"/>
              </w:rPr>
            </w:pPr>
            <w:r>
              <w:rPr>
                <w:sz w:val="21"/>
                <w:szCs w:val="21"/>
              </w:rPr>
              <w:t>处理方式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8" w:hRule="atLeast"/>
        </w:trPr>
        <w:tc>
          <w:tcPr>
            <w:tcW w:w="704" w:type="dxa"/>
            <w:vAlign w:val="center"/>
          </w:tcPr>
          <w:p>
            <w:pPr>
              <w:spacing w:line="240" w:lineRule="auto"/>
              <w:ind w:firstLine="0" w:firstLineChars="0"/>
              <w:jc w:val="center"/>
              <w:rPr>
                <w:sz w:val="21"/>
                <w:szCs w:val="21"/>
              </w:rPr>
            </w:pPr>
            <w:r>
              <w:rPr>
                <w:sz w:val="21"/>
                <w:szCs w:val="21"/>
              </w:rPr>
              <w:t>1</w:t>
            </w:r>
          </w:p>
        </w:tc>
        <w:tc>
          <w:tcPr>
            <w:tcW w:w="1767" w:type="dxa"/>
            <w:vAlign w:val="center"/>
          </w:tcPr>
          <w:p>
            <w:pPr>
              <w:spacing w:line="240" w:lineRule="auto"/>
              <w:ind w:firstLine="0" w:firstLineChars="0"/>
              <w:jc w:val="center"/>
              <w:rPr>
                <w:sz w:val="21"/>
                <w:szCs w:val="21"/>
              </w:rPr>
            </w:pPr>
            <w:r>
              <w:rPr>
                <w:rFonts w:hint="eastAsia"/>
                <w:sz w:val="21"/>
                <w:szCs w:val="21"/>
              </w:rPr>
              <w:t>员工生活污水及顾客</w:t>
            </w:r>
            <w:r>
              <w:rPr>
                <w:sz w:val="21"/>
                <w:szCs w:val="21"/>
              </w:rPr>
              <w:t>生活污水</w:t>
            </w:r>
          </w:p>
        </w:tc>
        <w:tc>
          <w:tcPr>
            <w:tcW w:w="1309" w:type="dxa"/>
            <w:vAlign w:val="center"/>
          </w:tcPr>
          <w:p>
            <w:pPr>
              <w:spacing w:line="240" w:lineRule="auto"/>
              <w:ind w:firstLine="0" w:firstLineChars="0"/>
              <w:jc w:val="center"/>
              <w:rPr>
                <w:color w:val="000000"/>
                <w:sz w:val="21"/>
                <w:szCs w:val="21"/>
              </w:rPr>
            </w:pPr>
            <w:r>
              <w:rPr>
                <w:color w:val="000000"/>
                <w:sz w:val="21"/>
                <w:szCs w:val="21"/>
              </w:rPr>
              <w:t>667.5</w:t>
            </w:r>
          </w:p>
        </w:tc>
        <w:tc>
          <w:tcPr>
            <w:tcW w:w="4742" w:type="dxa"/>
          </w:tcPr>
          <w:p>
            <w:pPr>
              <w:spacing w:line="240" w:lineRule="auto"/>
              <w:ind w:firstLine="0" w:firstLineChars="0"/>
              <w:jc w:val="left"/>
              <w:rPr>
                <w:sz w:val="21"/>
                <w:szCs w:val="21"/>
              </w:rPr>
            </w:pPr>
            <w:r>
              <w:rPr>
                <w:rFonts w:hint="eastAsia"/>
                <w:sz w:val="21"/>
                <w:szCs w:val="21"/>
              </w:rPr>
              <w:t>生活污水经三级化粪池预处理后通过市政污水管网排入高州市城区水质净化厂进一步处理。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4" w:type="dxa"/>
            <w:vAlign w:val="center"/>
          </w:tcPr>
          <w:p>
            <w:pPr>
              <w:spacing w:line="240" w:lineRule="auto"/>
              <w:ind w:firstLine="0" w:firstLineChars="0"/>
              <w:jc w:val="center"/>
              <w:rPr>
                <w:sz w:val="21"/>
                <w:szCs w:val="21"/>
              </w:rPr>
            </w:pPr>
            <w:r>
              <w:rPr>
                <w:sz w:val="21"/>
                <w:szCs w:val="21"/>
              </w:rPr>
              <w:t>2</w:t>
            </w:r>
          </w:p>
        </w:tc>
        <w:tc>
          <w:tcPr>
            <w:tcW w:w="1767" w:type="dxa"/>
            <w:vAlign w:val="center"/>
          </w:tcPr>
          <w:p>
            <w:pPr>
              <w:spacing w:line="240" w:lineRule="auto"/>
              <w:ind w:firstLine="0" w:firstLineChars="0"/>
              <w:jc w:val="center"/>
              <w:rPr>
                <w:sz w:val="21"/>
                <w:szCs w:val="21"/>
              </w:rPr>
            </w:pPr>
            <w:r>
              <w:rPr>
                <w:rFonts w:hint="eastAsia"/>
                <w:sz w:val="21"/>
                <w:szCs w:val="21"/>
              </w:rPr>
              <w:t>场地清洗废水</w:t>
            </w:r>
          </w:p>
        </w:tc>
        <w:tc>
          <w:tcPr>
            <w:tcW w:w="1309" w:type="dxa"/>
            <w:vAlign w:val="center"/>
          </w:tcPr>
          <w:p>
            <w:pPr>
              <w:spacing w:line="240" w:lineRule="auto"/>
              <w:ind w:firstLine="0" w:firstLineChars="0"/>
              <w:jc w:val="center"/>
              <w:rPr>
                <w:color w:val="000000"/>
                <w:sz w:val="21"/>
                <w:szCs w:val="21"/>
              </w:rPr>
            </w:pPr>
            <w:r>
              <w:rPr>
                <w:color w:val="000000"/>
                <w:sz w:val="21"/>
                <w:szCs w:val="21"/>
              </w:rPr>
              <w:t>48.082</w:t>
            </w:r>
          </w:p>
        </w:tc>
        <w:tc>
          <w:tcPr>
            <w:tcW w:w="4742" w:type="dxa"/>
          </w:tcPr>
          <w:p>
            <w:pPr>
              <w:spacing w:line="240" w:lineRule="auto"/>
              <w:ind w:firstLine="0" w:firstLineChars="0"/>
              <w:jc w:val="left"/>
              <w:rPr>
                <w:sz w:val="21"/>
                <w:szCs w:val="21"/>
              </w:rPr>
            </w:pPr>
            <w:r>
              <w:rPr>
                <w:sz w:val="21"/>
                <w:szCs w:val="21"/>
              </w:rPr>
              <w:t xml:space="preserve"> </w:t>
            </w:r>
            <w:r>
              <w:rPr>
                <w:rFonts w:hint="eastAsia"/>
                <w:sz w:val="21"/>
                <w:szCs w:val="21"/>
              </w:rPr>
              <w:t>场地清洗废水经隔油池预处理后通过市政污水管网排入高州市城区水质净化厂进一步处理。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4" w:type="dxa"/>
            <w:vAlign w:val="center"/>
          </w:tcPr>
          <w:p>
            <w:pPr>
              <w:spacing w:line="240" w:lineRule="auto"/>
              <w:ind w:firstLine="0" w:firstLineChars="0"/>
              <w:jc w:val="center"/>
              <w:rPr>
                <w:color w:val="000000"/>
                <w:sz w:val="21"/>
                <w:szCs w:val="21"/>
              </w:rPr>
            </w:pPr>
            <w:r>
              <w:rPr>
                <w:rFonts w:hint="eastAsia"/>
                <w:color w:val="000000"/>
                <w:sz w:val="21"/>
                <w:szCs w:val="21"/>
              </w:rPr>
              <w:t>3</w:t>
            </w:r>
          </w:p>
        </w:tc>
        <w:tc>
          <w:tcPr>
            <w:tcW w:w="1767" w:type="dxa"/>
            <w:vAlign w:val="center"/>
          </w:tcPr>
          <w:p>
            <w:pPr>
              <w:spacing w:line="240" w:lineRule="auto"/>
              <w:ind w:firstLine="0" w:firstLineChars="0"/>
              <w:jc w:val="center"/>
              <w:rPr>
                <w:color w:val="000000"/>
                <w:sz w:val="21"/>
                <w:szCs w:val="21"/>
              </w:rPr>
            </w:pPr>
            <w:r>
              <w:rPr>
                <w:rFonts w:hint="eastAsia"/>
                <w:sz w:val="21"/>
                <w:szCs w:val="21"/>
              </w:rPr>
              <w:t>洗车废水</w:t>
            </w:r>
          </w:p>
        </w:tc>
        <w:tc>
          <w:tcPr>
            <w:tcW w:w="1309" w:type="dxa"/>
            <w:vAlign w:val="center"/>
          </w:tcPr>
          <w:p>
            <w:pPr>
              <w:spacing w:line="240" w:lineRule="auto"/>
              <w:ind w:firstLine="0" w:firstLineChars="0"/>
              <w:jc w:val="center"/>
              <w:rPr>
                <w:color w:val="000000"/>
                <w:sz w:val="21"/>
                <w:szCs w:val="21"/>
              </w:rPr>
            </w:pPr>
            <w:r>
              <w:rPr>
                <w:rFonts w:hint="eastAsia"/>
                <w:sz w:val="21"/>
                <w:szCs w:val="21"/>
              </w:rPr>
              <w:t>40.5</w:t>
            </w:r>
          </w:p>
        </w:tc>
        <w:tc>
          <w:tcPr>
            <w:tcW w:w="4742" w:type="dxa"/>
          </w:tcPr>
          <w:p>
            <w:pPr>
              <w:spacing w:line="240" w:lineRule="auto"/>
              <w:ind w:firstLine="0" w:firstLineChars="0"/>
              <w:jc w:val="left"/>
              <w:rPr>
                <w:color w:val="000000"/>
                <w:sz w:val="21"/>
                <w:szCs w:val="21"/>
              </w:rPr>
            </w:pPr>
            <w:r>
              <w:rPr>
                <w:rFonts w:hint="eastAsia"/>
                <w:sz w:val="21"/>
                <w:szCs w:val="21"/>
              </w:rPr>
              <w:t>洗车废水经隔油池预处理后通过市政污水管网排入高州市城区水质净化厂进一步处理。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4" w:type="dxa"/>
            <w:vAlign w:val="center"/>
          </w:tcPr>
          <w:p>
            <w:pPr>
              <w:spacing w:line="240" w:lineRule="auto"/>
              <w:ind w:firstLine="0" w:firstLineChars="0"/>
              <w:jc w:val="center"/>
              <w:rPr>
                <w:color w:val="000000"/>
                <w:sz w:val="21"/>
                <w:szCs w:val="21"/>
              </w:rPr>
            </w:pPr>
            <w:r>
              <w:rPr>
                <w:rFonts w:hint="eastAsia"/>
                <w:color w:val="000000"/>
                <w:sz w:val="21"/>
                <w:szCs w:val="21"/>
              </w:rPr>
              <w:t>4</w:t>
            </w:r>
          </w:p>
        </w:tc>
        <w:tc>
          <w:tcPr>
            <w:tcW w:w="1767" w:type="dxa"/>
            <w:vAlign w:val="center"/>
          </w:tcPr>
          <w:p>
            <w:pPr>
              <w:spacing w:line="240" w:lineRule="auto"/>
              <w:ind w:firstLine="0" w:firstLineChars="0"/>
              <w:jc w:val="center"/>
              <w:rPr>
                <w:sz w:val="21"/>
                <w:szCs w:val="21"/>
              </w:rPr>
            </w:pPr>
            <w:r>
              <w:rPr>
                <w:rFonts w:hint="eastAsia"/>
                <w:sz w:val="21"/>
                <w:szCs w:val="21"/>
              </w:rPr>
              <w:t>初期雨水</w:t>
            </w:r>
          </w:p>
        </w:tc>
        <w:tc>
          <w:tcPr>
            <w:tcW w:w="1309" w:type="dxa"/>
            <w:vAlign w:val="center"/>
          </w:tcPr>
          <w:p>
            <w:pPr>
              <w:spacing w:line="240" w:lineRule="auto"/>
              <w:ind w:firstLine="0" w:firstLineChars="0"/>
              <w:jc w:val="center"/>
              <w:rPr>
                <w:sz w:val="21"/>
                <w:szCs w:val="21"/>
              </w:rPr>
            </w:pPr>
            <w:r>
              <w:rPr>
                <w:rFonts w:hint="eastAsia"/>
                <w:sz w:val="21"/>
                <w:szCs w:val="21"/>
              </w:rPr>
              <w:t>255</w:t>
            </w:r>
          </w:p>
        </w:tc>
        <w:tc>
          <w:tcPr>
            <w:tcW w:w="4742" w:type="dxa"/>
          </w:tcPr>
          <w:p>
            <w:pPr>
              <w:spacing w:line="240" w:lineRule="auto"/>
              <w:ind w:firstLine="0" w:firstLineChars="0"/>
              <w:jc w:val="left"/>
              <w:rPr>
                <w:sz w:val="21"/>
                <w:szCs w:val="21"/>
              </w:rPr>
            </w:pPr>
            <w:r>
              <w:rPr>
                <w:rFonts w:hint="eastAsia"/>
                <w:sz w:val="21"/>
                <w:szCs w:val="21"/>
              </w:rPr>
              <w:t>初期雨水经隔油池预处理后通过市政污水管网排入高州市城区水质净化厂进一步处理。</w:t>
            </w:r>
          </w:p>
        </w:tc>
      </w:tr>
    </w:tbl>
    <w:p>
      <w:pPr>
        <w:autoSpaceDE w:val="0"/>
        <w:autoSpaceDN w:val="0"/>
        <w:adjustRightInd w:val="0"/>
        <w:ind w:firstLine="480"/>
        <w:textAlignment w:val="baseline"/>
        <w:rPr>
          <w:bCs/>
        </w:rPr>
      </w:pPr>
      <w:r>
        <w:rPr>
          <w:rFonts w:hint="eastAsia"/>
          <w:bCs/>
        </w:rPr>
        <w:t>本项目废水治理措施详见图4-1。</w:t>
      </w:r>
    </w:p>
    <w:tbl>
      <w:tblPr>
        <w:tblStyle w:val="2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522" w:type="dxa"/>
          </w:tcPr>
          <w:p>
            <w:pPr>
              <w:pStyle w:val="35"/>
              <w:spacing w:line="360" w:lineRule="auto"/>
            </w:pPr>
            <w:r>
              <w:drawing>
                <wp:inline distT="0" distB="0" distL="0" distR="0">
                  <wp:extent cx="3998595" cy="2999105"/>
                  <wp:effectExtent l="4445" t="0" r="6350" b="6350"/>
                  <wp:docPr id="18831064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106435" name="图片 1"/>
                          <pic:cNvPicPr>
                            <a:picLocks noChangeAspect="1" noChangeArrowheads="1"/>
                          </pic:cNvPicPr>
                        </pic:nvPicPr>
                        <pic:blipFill>
                          <a:blip r:embed="rId21"/>
                          <a:srcRect/>
                          <a:stretch>
                            <a:fillRect/>
                          </a:stretch>
                        </pic:blipFill>
                        <pic:spPr>
                          <a:xfrm rot="5400000">
                            <a:off x="0" y="0"/>
                            <a:ext cx="4008579" cy="3006676"/>
                          </a:xfrm>
                          <a:prstGeom prst="rect">
                            <a:avLst/>
                          </a:prstGeom>
                          <a:noFill/>
                          <a:ln>
                            <a:noFill/>
                          </a:ln>
                        </pic:spPr>
                      </pic:pic>
                    </a:graphicData>
                  </a:graphic>
                </wp:inline>
              </w:drawing>
            </w:r>
          </w:p>
          <w:p>
            <w:pPr>
              <w:pStyle w:val="35"/>
              <w:spacing w:line="360" w:lineRule="auto"/>
            </w:pPr>
            <w:r>
              <w:rPr>
                <w:rFonts w:hint="eastAsia"/>
              </w:rPr>
              <w:t>三级化粪池及排放口标识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522" w:type="dxa"/>
          </w:tcPr>
          <w:p>
            <w:pPr>
              <w:pStyle w:val="35"/>
              <w:spacing w:line="360" w:lineRule="auto"/>
            </w:pPr>
            <w:r>
              <w:drawing>
                <wp:inline distT="0" distB="0" distL="0" distR="0">
                  <wp:extent cx="4277995" cy="3208655"/>
                  <wp:effectExtent l="0" t="0" r="8255" b="0"/>
                  <wp:docPr id="15191426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142636" name="图片 2"/>
                          <pic:cNvPicPr>
                            <a:picLocks noChangeAspect="1" noChangeArrowheads="1"/>
                          </pic:cNvPicPr>
                        </pic:nvPicPr>
                        <pic:blipFill>
                          <a:blip r:embed="rId22"/>
                          <a:srcRect/>
                          <a:stretch>
                            <a:fillRect/>
                          </a:stretch>
                        </pic:blipFill>
                        <pic:spPr>
                          <a:xfrm rot="10800000">
                            <a:off x="0" y="0"/>
                            <a:ext cx="4318830" cy="3239384"/>
                          </a:xfrm>
                          <a:prstGeom prst="rect">
                            <a:avLst/>
                          </a:prstGeom>
                          <a:noFill/>
                          <a:ln>
                            <a:noFill/>
                          </a:ln>
                        </pic:spPr>
                      </pic:pic>
                    </a:graphicData>
                  </a:graphic>
                </wp:inline>
              </w:drawing>
            </w:r>
          </w:p>
          <w:p>
            <w:pPr>
              <w:pStyle w:val="35"/>
              <w:spacing w:line="360" w:lineRule="auto"/>
            </w:pPr>
            <w:r>
              <w:rPr>
                <w:rFonts w:hint="eastAsia"/>
              </w:rPr>
              <w:t xml:space="preserve">隔油池及排放口标识              </w:t>
            </w:r>
          </w:p>
          <w:p>
            <w:pPr>
              <w:pStyle w:val="35"/>
              <w:spacing w:line="360" w:lineRule="auto"/>
            </w:pPr>
            <w:r>
              <w:drawing>
                <wp:inline distT="0" distB="0" distL="0" distR="0">
                  <wp:extent cx="3188335" cy="2392045"/>
                  <wp:effectExtent l="0" t="1905" r="0" b="0"/>
                  <wp:docPr id="19670245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024510" name="图片 3"/>
                          <pic:cNvPicPr>
                            <a:picLocks noChangeAspect="1" noChangeArrowheads="1"/>
                          </pic:cNvPicPr>
                        </pic:nvPicPr>
                        <pic:blipFill>
                          <a:blip r:embed="rId23"/>
                          <a:srcRect/>
                          <a:stretch>
                            <a:fillRect/>
                          </a:stretch>
                        </pic:blipFill>
                        <pic:spPr>
                          <a:xfrm rot="5400000">
                            <a:off x="0" y="0"/>
                            <a:ext cx="3195663" cy="2397709"/>
                          </a:xfrm>
                          <a:prstGeom prst="rect">
                            <a:avLst/>
                          </a:prstGeom>
                          <a:noFill/>
                          <a:ln>
                            <a:noFill/>
                          </a:ln>
                        </pic:spPr>
                      </pic:pic>
                    </a:graphicData>
                  </a:graphic>
                </wp:inline>
              </w:drawing>
            </w:r>
          </w:p>
          <w:p>
            <w:pPr>
              <w:pStyle w:val="35"/>
              <w:spacing w:line="360" w:lineRule="auto"/>
              <w:ind w:firstLine="1476" w:firstLineChars="700"/>
              <w:jc w:val="both"/>
            </w:pPr>
            <w:r>
              <w:rPr>
                <w:rFonts w:hint="eastAsia"/>
              </w:rPr>
              <w:t xml:space="preserve">                     导流沟</w:t>
            </w:r>
          </w:p>
        </w:tc>
      </w:tr>
    </w:tbl>
    <w:p>
      <w:pPr>
        <w:pStyle w:val="35"/>
        <w:spacing w:line="360" w:lineRule="auto"/>
      </w:pPr>
      <w:r>
        <w:rPr>
          <w:rFonts w:hint="eastAsia"/>
        </w:rPr>
        <w:t>图4</w:t>
      </w:r>
      <w:r>
        <w:t>-</w:t>
      </w:r>
      <w:r>
        <w:rPr>
          <w:rFonts w:hint="eastAsia"/>
        </w:rPr>
        <w:t>1</w:t>
      </w:r>
      <w:r>
        <w:t xml:space="preserve">  </w:t>
      </w:r>
      <w:r>
        <w:rPr>
          <w:rFonts w:hint="eastAsia"/>
        </w:rPr>
        <w:t>废水收集及处理设施现场照片</w:t>
      </w:r>
    </w:p>
    <w:bookmarkEnd w:id="30"/>
    <w:p>
      <w:pPr>
        <w:pStyle w:val="4"/>
      </w:pPr>
      <w:bookmarkStart w:id="31" w:name="_Toc164292270"/>
      <w:bookmarkStart w:id="32" w:name="_Toc26490"/>
      <w:bookmarkStart w:id="33" w:name="_Toc156491643"/>
      <w:r>
        <w:rPr>
          <w:rFonts w:hint="eastAsia"/>
        </w:rPr>
        <w:t>废气</w:t>
      </w:r>
      <w:bookmarkEnd w:id="31"/>
      <w:bookmarkEnd w:id="32"/>
      <w:bookmarkEnd w:id="33"/>
    </w:p>
    <w:p>
      <w:pPr>
        <w:autoSpaceDE w:val="0"/>
        <w:autoSpaceDN w:val="0"/>
        <w:adjustRightInd w:val="0"/>
        <w:ind w:firstLine="480"/>
        <w:textAlignment w:val="baseline"/>
      </w:pPr>
      <w:r>
        <w:rPr>
          <w:rFonts w:hint="eastAsia"/>
        </w:rPr>
        <w:t>（1）油气</w:t>
      </w:r>
    </w:p>
    <w:p>
      <w:pPr>
        <w:autoSpaceDE w:val="0"/>
        <w:autoSpaceDN w:val="0"/>
        <w:adjustRightInd w:val="0"/>
        <w:ind w:firstLine="480"/>
        <w:textAlignment w:val="baseline"/>
      </w:pPr>
      <w:r>
        <w:rPr>
          <w:rFonts w:hint="eastAsia"/>
        </w:rPr>
        <w:t>项目主要产生油气的过程为卸油、储油、加油工序，油气以非甲烷总烃计。</w:t>
      </w:r>
    </w:p>
    <w:p>
      <w:pPr>
        <w:autoSpaceDE w:val="0"/>
        <w:autoSpaceDN w:val="0"/>
        <w:adjustRightInd w:val="0"/>
        <w:ind w:firstLine="480"/>
        <w:textAlignment w:val="baseline"/>
        <w:rPr>
          <w:bCs/>
        </w:rPr>
      </w:pPr>
      <w:r>
        <w:rPr>
          <w:rFonts w:hint="eastAsia"/>
        </w:rPr>
        <w:t>根据建设单位提供资料，本项目</w:t>
      </w:r>
      <w:r>
        <w:rPr>
          <w:rFonts w:hint="eastAsia"/>
          <w:bCs/>
        </w:rPr>
        <w:t>非甲烷总烃实际产排情况具体见下表。</w:t>
      </w:r>
    </w:p>
    <w:p>
      <w:pPr>
        <w:pStyle w:val="11"/>
        <w:ind w:firstLine="382"/>
        <w:jc w:val="center"/>
        <w:rPr>
          <w:b/>
          <w:spacing w:val="-10"/>
          <w:sz w:val="21"/>
          <w:szCs w:val="21"/>
        </w:rPr>
      </w:pPr>
      <w:r>
        <w:rPr>
          <w:rFonts w:hint="eastAsia"/>
          <w:b/>
          <w:spacing w:val="-10"/>
          <w:sz w:val="21"/>
          <w:szCs w:val="21"/>
        </w:rPr>
        <w:t>表 4.1-2  非甲烷总烃产排情况一览表</w:t>
      </w:r>
    </w:p>
    <w:tbl>
      <w:tblPr>
        <w:tblStyle w:val="23"/>
        <w:tblW w:w="82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1559"/>
        <w:gridCol w:w="922"/>
        <w:gridCol w:w="922"/>
        <w:gridCol w:w="1558"/>
        <w:gridCol w:w="911"/>
        <w:gridCol w:w="1062"/>
        <w:gridCol w:w="9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trPr>
        <w:tc>
          <w:tcPr>
            <w:tcW w:w="426" w:type="dxa"/>
            <w:vAlign w:val="center"/>
          </w:tcPr>
          <w:p>
            <w:pPr>
              <w:pStyle w:val="53"/>
              <w:spacing w:line="240" w:lineRule="auto"/>
              <w:ind w:firstLine="0" w:firstLineChars="0"/>
              <w:jc w:val="center"/>
              <w:rPr>
                <w:sz w:val="21"/>
                <w:szCs w:val="21"/>
              </w:rPr>
            </w:pPr>
            <w:r>
              <w:rPr>
                <w:sz w:val="21"/>
                <w:szCs w:val="21"/>
              </w:rPr>
              <w:t>种类</w:t>
            </w:r>
          </w:p>
        </w:tc>
        <w:tc>
          <w:tcPr>
            <w:tcW w:w="1559" w:type="dxa"/>
            <w:vAlign w:val="center"/>
          </w:tcPr>
          <w:p>
            <w:pPr>
              <w:pStyle w:val="53"/>
              <w:spacing w:line="240" w:lineRule="auto"/>
              <w:ind w:firstLine="0" w:firstLineChars="0"/>
              <w:jc w:val="center"/>
              <w:rPr>
                <w:sz w:val="21"/>
                <w:szCs w:val="21"/>
              </w:rPr>
            </w:pPr>
            <w:r>
              <w:rPr>
                <w:sz w:val="21"/>
                <w:szCs w:val="21"/>
              </w:rPr>
              <w:t>项目</w:t>
            </w:r>
          </w:p>
        </w:tc>
        <w:tc>
          <w:tcPr>
            <w:tcW w:w="922" w:type="dxa"/>
            <w:vAlign w:val="center"/>
          </w:tcPr>
          <w:p>
            <w:pPr>
              <w:pStyle w:val="53"/>
              <w:spacing w:line="240" w:lineRule="auto"/>
              <w:ind w:firstLine="0" w:firstLineChars="0"/>
              <w:jc w:val="center"/>
              <w:rPr>
                <w:sz w:val="21"/>
                <w:szCs w:val="21"/>
              </w:rPr>
            </w:pPr>
            <w:r>
              <w:rPr>
                <w:sz w:val="21"/>
                <w:szCs w:val="21"/>
              </w:rPr>
              <w:t>年销售量t/a</w:t>
            </w:r>
          </w:p>
        </w:tc>
        <w:tc>
          <w:tcPr>
            <w:tcW w:w="922" w:type="dxa"/>
            <w:vAlign w:val="center"/>
          </w:tcPr>
          <w:p>
            <w:pPr>
              <w:pStyle w:val="53"/>
              <w:spacing w:line="240" w:lineRule="auto"/>
              <w:ind w:firstLine="0" w:firstLineChars="0"/>
              <w:jc w:val="center"/>
              <w:rPr>
                <w:sz w:val="21"/>
                <w:szCs w:val="21"/>
              </w:rPr>
            </w:pPr>
            <w:r>
              <w:rPr>
                <w:sz w:val="21"/>
                <w:szCs w:val="21"/>
              </w:rPr>
              <w:t>年通过量m³/a</w:t>
            </w:r>
          </w:p>
        </w:tc>
        <w:tc>
          <w:tcPr>
            <w:tcW w:w="1558" w:type="dxa"/>
            <w:vAlign w:val="center"/>
          </w:tcPr>
          <w:p>
            <w:pPr>
              <w:pStyle w:val="53"/>
              <w:spacing w:line="240" w:lineRule="auto"/>
              <w:ind w:firstLine="0" w:firstLineChars="0"/>
              <w:jc w:val="center"/>
              <w:rPr>
                <w:sz w:val="21"/>
                <w:szCs w:val="21"/>
              </w:rPr>
            </w:pPr>
            <w:r>
              <w:rPr>
                <w:sz w:val="21"/>
                <w:szCs w:val="21"/>
              </w:rPr>
              <w:t>产生系数</w:t>
            </w:r>
          </w:p>
        </w:tc>
        <w:tc>
          <w:tcPr>
            <w:tcW w:w="911" w:type="dxa"/>
            <w:vAlign w:val="center"/>
          </w:tcPr>
          <w:p>
            <w:pPr>
              <w:pStyle w:val="53"/>
              <w:spacing w:line="240" w:lineRule="auto"/>
              <w:ind w:firstLine="0" w:firstLineChars="0"/>
              <w:jc w:val="center"/>
              <w:rPr>
                <w:sz w:val="21"/>
                <w:szCs w:val="21"/>
              </w:rPr>
            </w:pPr>
            <w:r>
              <w:rPr>
                <w:sz w:val="21"/>
                <w:szCs w:val="21"/>
              </w:rPr>
              <w:t>产生量t/a</w:t>
            </w:r>
          </w:p>
        </w:tc>
        <w:tc>
          <w:tcPr>
            <w:tcW w:w="1062" w:type="dxa"/>
            <w:vAlign w:val="center"/>
          </w:tcPr>
          <w:p>
            <w:pPr>
              <w:pStyle w:val="53"/>
              <w:spacing w:line="240" w:lineRule="auto"/>
              <w:ind w:firstLine="0" w:firstLineChars="0"/>
              <w:jc w:val="center"/>
              <w:rPr>
                <w:sz w:val="21"/>
                <w:szCs w:val="21"/>
              </w:rPr>
            </w:pPr>
            <w:r>
              <w:rPr>
                <w:sz w:val="21"/>
                <w:szCs w:val="21"/>
              </w:rPr>
              <w:t>油气回收效率%</w:t>
            </w:r>
          </w:p>
        </w:tc>
        <w:tc>
          <w:tcPr>
            <w:tcW w:w="923" w:type="dxa"/>
            <w:vAlign w:val="center"/>
          </w:tcPr>
          <w:p>
            <w:pPr>
              <w:pStyle w:val="53"/>
              <w:spacing w:line="240" w:lineRule="auto"/>
              <w:ind w:firstLine="0" w:firstLineChars="0"/>
              <w:jc w:val="center"/>
              <w:rPr>
                <w:sz w:val="21"/>
                <w:szCs w:val="21"/>
              </w:rPr>
            </w:pPr>
            <w:r>
              <w:rPr>
                <w:sz w:val="21"/>
                <w:szCs w:val="21"/>
              </w:rPr>
              <w:t>排放量</w:t>
            </w:r>
            <w:r>
              <w:rPr>
                <w:rFonts w:hint="eastAsia"/>
                <w:sz w:val="21"/>
                <w:szCs w:val="21"/>
              </w:rPr>
              <w:t>t</w:t>
            </w:r>
            <w:r>
              <w:rPr>
                <w:sz w:val="21"/>
                <w:szCs w:val="21"/>
              </w:rPr>
              <w:t>/</w:t>
            </w:r>
            <w:r>
              <w:rPr>
                <w:rFonts w:hint="eastAsia"/>
                <w:sz w:val="21"/>
                <w:szCs w:val="21"/>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trPr>
        <w:tc>
          <w:tcPr>
            <w:tcW w:w="426" w:type="dxa"/>
            <w:vMerge w:val="restart"/>
            <w:vAlign w:val="center"/>
          </w:tcPr>
          <w:p>
            <w:pPr>
              <w:pStyle w:val="53"/>
              <w:spacing w:line="240" w:lineRule="auto"/>
              <w:ind w:firstLine="0" w:firstLineChars="0"/>
              <w:jc w:val="center"/>
              <w:rPr>
                <w:sz w:val="21"/>
                <w:szCs w:val="21"/>
              </w:rPr>
            </w:pPr>
            <w:r>
              <w:rPr>
                <w:rFonts w:hint="eastAsia"/>
                <w:sz w:val="21"/>
                <w:szCs w:val="21"/>
              </w:rPr>
              <w:t>汽油</w:t>
            </w:r>
          </w:p>
        </w:tc>
        <w:tc>
          <w:tcPr>
            <w:tcW w:w="1559" w:type="dxa"/>
            <w:vAlign w:val="center"/>
          </w:tcPr>
          <w:p>
            <w:pPr>
              <w:pStyle w:val="53"/>
              <w:spacing w:line="240" w:lineRule="auto"/>
              <w:ind w:firstLine="0" w:firstLineChars="0"/>
              <w:jc w:val="center"/>
              <w:rPr>
                <w:sz w:val="21"/>
                <w:szCs w:val="21"/>
              </w:rPr>
            </w:pPr>
            <w:r>
              <w:rPr>
                <w:rFonts w:hint="eastAsia"/>
                <w:sz w:val="21"/>
                <w:szCs w:val="21"/>
              </w:rPr>
              <w:t>储罐小呼吸</w:t>
            </w:r>
          </w:p>
        </w:tc>
        <w:tc>
          <w:tcPr>
            <w:tcW w:w="922" w:type="dxa"/>
            <w:vMerge w:val="restart"/>
            <w:vAlign w:val="center"/>
          </w:tcPr>
          <w:p>
            <w:pPr>
              <w:pStyle w:val="53"/>
              <w:spacing w:line="240" w:lineRule="auto"/>
              <w:ind w:firstLine="0" w:firstLineChars="0"/>
              <w:jc w:val="center"/>
              <w:rPr>
                <w:sz w:val="21"/>
                <w:szCs w:val="21"/>
              </w:rPr>
            </w:pPr>
            <w:r>
              <w:rPr>
                <w:rFonts w:eastAsia="等线"/>
                <w:sz w:val="21"/>
                <w:szCs w:val="21"/>
              </w:rPr>
              <w:t>8500</w:t>
            </w:r>
          </w:p>
        </w:tc>
        <w:tc>
          <w:tcPr>
            <w:tcW w:w="922" w:type="dxa"/>
            <w:vMerge w:val="restart"/>
            <w:vAlign w:val="center"/>
          </w:tcPr>
          <w:p>
            <w:pPr>
              <w:pStyle w:val="53"/>
              <w:spacing w:line="240" w:lineRule="auto"/>
              <w:ind w:firstLine="0" w:firstLineChars="0"/>
              <w:jc w:val="center"/>
              <w:rPr>
                <w:sz w:val="21"/>
                <w:szCs w:val="21"/>
              </w:rPr>
            </w:pPr>
            <w:r>
              <w:rPr>
                <w:rFonts w:eastAsia="等线"/>
                <w:sz w:val="21"/>
                <w:szCs w:val="21"/>
              </w:rPr>
              <w:t>11184</w:t>
            </w:r>
          </w:p>
        </w:tc>
        <w:tc>
          <w:tcPr>
            <w:tcW w:w="1558" w:type="dxa"/>
            <w:vAlign w:val="center"/>
          </w:tcPr>
          <w:p>
            <w:pPr>
              <w:pStyle w:val="53"/>
              <w:spacing w:line="240" w:lineRule="auto"/>
              <w:ind w:firstLine="0" w:firstLineChars="0"/>
              <w:jc w:val="center"/>
              <w:rPr>
                <w:sz w:val="21"/>
                <w:szCs w:val="21"/>
              </w:rPr>
            </w:pPr>
            <w:r>
              <w:rPr>
                <w:rFonts w:eastAsia="等线"/>
                <w:sz w:val="21"/>
                <w:szCs w:val="21"/>
              </w:rPr>
              <w:t>0</w:t>
            </w:r>
          </w:p>
        </w:tc>
        <w:tc>
          <w:tcPr>
            <w:tcW w:w="911" w:type="dxa"/>
            <w:vAlign w:val="center"/>
          </w:tcPr>
          <w:p>
            <w:pPr>
              <w:pStyle w:val="53"/>
              <w:spacing w:line="240" w:lineRule="auto"/>
              <w:ind w:firstLine="0" w:firstLineChars="0"/>
              <w:jc w:val="center"/>
              <w:rPr>
                <w:sz w:val="21"/>
                <w:szCs w:val="21"/>
              </w:rPr>
            </w:pPr>
            <w:r>
              <w:rPr>
                <w:rFonts w:eastAsia="等线"/>
                <w:sz w:val="21"/>
                <w:szCs w:val="21"/>
              </w:rPr>
              <w:t>0.000</w:t>
            </w:r>
          </w:p>
        </w:tc>
        <w:tc>
          <w:tcPr>
            <w:tcW w:w="1062" w:type="dxa"/>
            <w:vAlign w:val="center"/>
          </w:tcPr>
          <w:p>
            <w:pPr>
              <w:pStyle w:val="53"/>
              <w:spacing w:line="240" w:lineRule="auto"/>
              <w:ind w:firstLine="0" w:firstLineChars="0"/>
              <w:jc w:val="center"/>
              <w:rPr>
                <w:sz w:val="21"/>
                <w:szCs w:val="21"/>
              </w:rPr>
            </w:pPr>
            <w:r>
              <w:rPr>
                <w:rFonts w:hint="eastAsia"/>
                <w:sz w:val="21"/>
                <w:szCs w:val="21"/>
              </w:rPr>
              <w:t>0</w:t>
            </w:r>
          </w:p>
        </w:tc>
        <w:tc>
          <w:tcPr>
            <w:tcW w:w="923" w:type="dxa"/>
            <w:vAlign w:val="center"/>
          </w:tcPr>
          <w:p>
            <w:pPr>
              <w:pStyle w:val="53"/>
              <w:spacing w:line="240" w:lineRule="auto"/>
              <w:ind w:firstLine="0" w:firstLineChars="0"/>
              <w:jc w:val="center"/>
              <w:rPr>
                <w:sz w:val="21"/>
                <w:szCs w:val="21"/>
              </w:rPr>
            </w:pPr>
            <w:r>
              <w:rPr>
                <w:rFonts w:eastAsia="等线"/>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trPr>
        <w:tc>
          <w:tcPr>
            <w:tcW w:w="426" w:type="dxa"/>
            <w:vMerge w:val="continue"/>
            <w:vAlign w:val="center"/>
          </w:tcPr>
          <w:p>
            <w:pPr>
              <w:pStyle w:val="53"/>
              <w:spacing w:line="240" w:lineRule="auto"/>
              <w:ind w:firstLine="0" w:firstLineChars="0"/>
              <w:jc w:val="center"/>
              <w:rPr>
                <w:sz w:val="21"/>
                <w:szCs w:val="21"/>
              </w:rPr>
            </w:pPr>
          </w:p>
        </w:tc>
        <w:tc>
          <w:tcPr>
            <w:tcW w:w="1559" w:type="dxa"/>
            <w:vAlign w:val="center"/>
          </w:tcPr>
          <w:p>
            <w:pPr>
              <w:pStyle w:val="53"/>
              <w:spacing w:line="240" w:lineRule="auto"/>
              <w:ind w:firstLine="0" w:firstLineChars="0"/>
              <w:jc w:val="center"/>
              <w:rPr>
                <w:sz w:val="21"/>
                <w:szCs w:val="21"/>
              </w:rPr>
            </w:pPr>
            <w:r>
              <w:rPr>
                <w:rFonts w:hint="eastAsia"/>
                <w:sz w:val="21"/>
                <w:szCs w:val="21"/>
              </w:rPr>
              <w:t>储罐大呼吸</w:t>
            </w:r>
          </w:p>
        </w:tc>
        <w:tc>
          <w:tcPr>
            <w:tcW w:w="922" w:type="dxa"/>
            <w:vMerge w:val="continue"/>
            <w:vAlign w:val="center"/>
          </w:tcPr>
          <w:p>
            <w:pPr>
              <w:pStyle w:val="53"/>
              <w:spacing w:line="240" w:lineRule="auto"/>
              <w:ind w:firstLine="0" w:firstLineChars="0"/>
              <w:jc w:val="center"/>
              <w:rPr>
                <w:sz w:val="21"/>
                <w:szCs w:val="21"/>
              </w:rPr>
            </w:pPr>
          </w:p>
        </w:tc>
        <w:tc>
          <w:tcPr>
            <w:tcW w:w="922" w:type="dxa"/>
            <w:vMerge w:val="continue"/>
            <w:vAlign w:val="center"/>
          </w:tcPr>
          <w:p>
            <w:pPr>
              <w:pStyle w:val="53"/>
              <w:spacing w:line="240" w:lineRule="auto"/>
              <w:ind w:firstLine="0" w:firstLineChars="0"/>
              <w:jc w:val="center"/>
              <w:rPr>
                <w:sz w:val="21"/>
                <w:szCs w:val="21"/>
              </w:rPr>
            </w:pPr>
          </w:p>
        </w:tc>
        <w:tc>
          <w:tcPr>
            <w:tcW w:w="1558" w:type="dxa"/>
            <w:vAlign w:val="center"/>
          </w:tcPr>
          <w:p>
            <w:pPr>
              <w:pStyle w:val="53"/>
              <w:spacing w:line="240" w:lineRule="auto"/>
              <w:ind w:firstLine="0" w:firstLineChars="0"/>
              <w:jc w:val="center"/>
              <w:rPr>
                <w:sz w:val="21"/>
                <w:szCs w:val="21"/>
              </w:rPr>
            </w:pPr>
            <w:r>
              <w:rPr>
                <w:rFonts w:eastAsia="等线"/>
                <w:sz w:val="21"/>
                <w:szCs w:val="21"/>
              </w:rPr>
              <w:t>2.3</w:t>
            </w:r>
            <w:r>
              <w:rPr>
                <w:sz w:val="21"/>
                <w:szCs w:val="21"/>
              </w:rPr>
              <w:t xml:space="preserve"> kg/</w:t>
            </w:r>
            <w:r>
              <w:rPr>
                <w:rFonts w:hint="eastAsia"/>
                <w:sz w:val="21"/>
                <w:szCs w:val="21"/>
              </w:rPr>
              <w:t>t</w:t>
            </w:r>
          </w:p>
        </w:tc>
        <w:tc>
          <w:tcPr>
            <w:tcW w:w="911" w:type="dxa"/>
            <w:vAlign w:val="center"/>
          </w:tcPr>
          <w:p>
            <w:pPr>
              <w:pStyle w:val="53"/>
              <w:spacing w:line="240" w:lineRule="auto"/>
              <w:ind w:firstLine="0" w:firstLineChars="0"/>
              <w:jc w:val="center"/>
              <w:rPr>
                <w:sz w:val="21"/>
                <w:szCs w:val="21"/>
              </w:rPr>
            </w:pPr>
            <w:r>
              <w:rPr>
                <w:rFonts w:eastAsia="等线"/>
                <w:sz w:val="21"/>
                <w:szCs w:val="21"/>
              </w:rPr>
              <w:t>19.550</w:t>
            </w:r>
          </w:p>
        </w:tc>
        <w:tc>
          <w:tcPr>
            <w:tcW w:w="1062" w:type="dxa"/>
            <w:vAlign w:val="center"/>
          </w:tcPr>
          <w:p>
            <w:pPr>
              <w:pStyle w:val="53"/>
              <w:spacing w:line="240" w:lineRule="auto"/>
              <w:ind w:firstLine="0" w:firstLineChars="0"/>
              <w:jc w:val="center"/>
              <w:rPr>
                <w:sz w:val="21"/>
                <w:szCs w:val="21"/>
              </w:rPr>
            </w:pPr>
            <w:r>
              <w:rPr>
                <w:rFonts w:eastAsia="等线"/>
                <w:sz w:val="21"/>
                <w:szCs w:val="21"/>
              </w:rPr>
              <w:t>95</w:t>
            </w:r>
          </w:p>
        </w:tc>
        <w:tc>
          <w:tcPr>
            <w:tcW w:w="923" w:type="dxa"/>
            <w:vAlign w:val="center"/>
          </w:tcPr>
          <w:p>
            <w:pPr>
              <w:pStyle w:val="53"/>
              <w:spacing w:line="240" w:lineRule="auto"/>
              <w:ind w:firstLine="0" w:firstLineChars="0"/>
              <w:jc w:val="center"/>
              <w:rPr>
                <w:sz w:val="21"/>
                <w:szCs w:val="21"/>
              </w:rPr>
            </w:pPr>
            <w:r>
              <w:rPr>
                <w:rFonts w:eastAsia="等线"/>
                <w:sz w:val="21"/>
                <w:szCs w:val="21"/>
              </w:rPr>
              <w:t>0.978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trPr>
        <w:tc>
          <w:tcPr>
            <w:tcW w:w="426" w:type="dxa"/>
            <w:vMerge w:val="continue"/>
            <w:vAlign w:val="center"/>
          </w:tcPr>
          <w:p>
            <w:pPr>
              <w:pStyle w:val="53"/>
              <w:spacing w:line="240" w:lineRule="auto"/>
              <w:ind w:firstLine="0" w:firstLineChars="0"/>
              <w:jc w:val="center"/>
              <w:rPr>
                <w:sz w:val="21"/>
                <w:szCs w:val="21"/>
              </w:rPr>
            </w:pPr>
          </w:p>
        </w:tc>
        <w:tc>
          <w:tcPr>
            <w:tcW w:w="1559" w:type="dxa"/>
            <w:vAlign w:val="center"/>
          </w:tcPr>
          <w:p>
            <w:pPr>
              <w:pStyle w:val="53"/>
              <w:spacing w:line="240" w:lineRule="auto"/>
              <w:ind w:firstLine="0" w:firstLineChars="0"/>
              <w:jc w:val="center"/>
              <w:rPr>
                <w:sz w:val="21"/>
                <w:szCs w:val="21"/>
              </w:rPr>
            </w:pPr>
            <w:r>
              <w:rPr>
                <w:rFonts w:hint="eastAsia"/>
                <w:sz w:val="21"/>
                <w:szCs w:val="21"/>
              </w:rPr>
              <w:t>加油作业损失</w:t>
            </w:r>
          </w:p>
        </w:tc>
        <w:tc>
          <w:tcPr>
            <w:tcW w:w="922" w:type="dxa"/>
            <w:vMerge w:val="continue"/>
            <w:vAlign w:val="center"/>
          </w:tcPr>
          <w:p>
            <w:pPr>
              <w:pStyle w:val="53"/>
              <w:spacing w:line="240" w:lineRule="auto"/>
              <w:ind w:firstLine="0" w:firstLineChars="0"/>
              <w:jc w:val="center"/>
              <w:rPr>
                <w:sz w:val="21"/>
                <w:szCs w:val="21"/>
              </w:rPr>
            </w:pPr>
          </w:p>
        </w:tc>
        <w:tc>
          <w:tcPr>
            <w:tcW w:w="922" w:type="dxa"/>
            <w:vMerge w:val="continue"/>
            <w:vAlign w:val="center"/>
          </w:tcPr>
          <w:p>
            <w:pPr>
              <w:pStyle w:val="53"/>
              <w:spacing w:line="240" w:lineRule="auto"/>
              <w:ind w:firstLine="0" w:firstLineChars="0"/>
              <w:jc w:val="center"/>
              <w:rPr>
                <w:sz w:val="21"/>
                <w:szCs w:val="21"/>
              </w:rPr>
            </w:pPr>
          </w:p>
        </w:tc>
        <w:tc>
          <w:tcPr>
            <w:tcW w:w="1558" w:type="dxa"/>
            <w:vAlign w:val="center"/>
          </w:tcPr>
          <w:p>
            <w:pPr>
              <w:pStyle w:val="53"/>
              <w:spacing w:line="240" w:lineRule="auto"/>
              <w:ind w:firstLine="0" w:firstLineChars="0"/>
              <w:jc w:val="center"/>
              <w:rPr>
                <w:sz w:val="21"/>
                <w:szCs w:val="21"/>
              </w:rPr>
            </w:pPr>
            <w:r>
              <w:rPr>
                <w:rFonts w:eastAsia="等线"/>
                <w:sz w:val="21"/>
                <w:szCs w:val="21"/>
              </w:rPr>
              <w:t>2.49</w:t>
            </w:r>
            <w:r>
              <w:rPr>
                <w:sz w:val="21"/>
                <w:szCs w:val="21"/>
              </w:rPr>
              <w:t xml:space="preserve"> kg/</w:t>
            </w:r>
            <w:r>
              <w:rPr>
                <w:rFonts w:hint="eastAsia"/>
                <w:sz w:val="21"/>
                <w:szCs w:val="21"/>
              </w:rPr>
              <w:t>t</w:t>
            </w:r>
          </w:p>
        </w:tc>
        <w:tc>
          <w:tcPr>
            <w:tcW w:w="911" w:type="dxa"/>
            <w:vAlign w:val="center"/>
          </w:tcPr>
          <w:p>
            <w:pPr>
              <w:pStyle w:val="53"/>
              <w:spacing w:line="240" w:lineRule="auto"/>
              <w:ind w:firstLine="0" w:firstLineChars="0"/>
              <w:jc w:val="center"/>
              <w:rPr>
                <w:sz w:val="21"/>
                <w:szCs w:val="21"/>
              </w:rPr>
            </w:pPr>
            <w:r>
              <w:rPr>
                <w:rFonts w:eastAsia="等线"/>
                <w:sz w:val="21"/>
                <w:szCs w:val="21"/>
              </w:rPr>
              <w:t>21.165</w:t>
            </w:r>
          </w:p>
        </w:tc>
        <w:tc>
          <w:tcPr>
            <w:tcW w:w="1062" w:type="dxa"/>
            <w:vAlign w:val="center"/>
          </w:tcPr>
          <w:p>
            <w:pPr>
              <w:pStyle w:val="53"/>
              <w:spacing w:line="240" w:lineRule="auto"/>
              <w:ind w:firstLine="0" w:firstLineChars="0"/>
              <w:jc w:val="center"/>
              <w:rPr>
                <w:sz w:val="21"/>
                <w:szCs w:val="21"/>
              </w:rPr>
            </w:pPr>
            <w:r>
              <w:rPr>
                <w:rFonts w:eastAsia="等线"/>
                <w:sz w:val="21"/>
                <w:szCs w:val="21"/>
              </w:rPr>
              <w:t>95</w:t>
            </w:r>
          </w:p>
        </w:tc>
        <w:tc>
          <w:tcPr>
            <w:tcW w:w="923" w:type="dxa"/>
            <w:vAlign w:val="center"/>
          </w:tcPr>
          <w:p>
            <w:pPr>
              <w:pStyle w:val="53"/>
              <w:spacing w:line="240" w:lineRule="auto"/>
              <w:ind w:firstLine="0" w:firstLineChars="0"/>
              <w:jc w:val="center"/>
              <w:rPr>
                <w:sz w:val="21"/>
                <w:szCs w:val="21"/>
              </w:rPr>
            </w:pPr>
            <w:r>
              <w:rPr>
                <w:rFonts w:eastAsia="等线"/>
                <w:sz w:val="21"/>
                <w:szCs w:val="21"/>
              </w:rPr>
              <w:t>1.058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trPr>
        <w:tc>
          <w:tcPr>
            <w:tcW w:w="426" w:type="dxa"/>
            <w:vMerge w:val="continue"/>
            <w:vAlign w:val="center"/>
          </w:tcPr>
          <w:p>
            <w:pPr>
              <w:pStyle w:val="53"/>
              <w:spacing w:line="240" w:lineRule="auto"/>
              <w:ind w:firstLine="0" w:firstLineChars="0"/>
              <w:jc w:val="center"/>
              <w:rPr>
                <w:sz w:val="21"/>
                <w:szCs w:val="21"/>
              </w:rPr>
            </w:pPr>
          </w:p>
        </w:tc>
        <w:tc>
          <w:tcPr>
            <w:tcW w:w="1559" w:type="dxa"/>
            <w:vAlign w:val="center"/>
          </w:tcPr>
          <w:p>
            <w:pPr>
              <w:pStyle w:val="53"/>
              <w:spacing w:line="240" w:lineRule="auto"/>
              <w:ind w:firstLine="0" w:firstLineChars="0"/>
              <w:jc w:val="center"/>
              <w:rPr>
                <w:sz w:val="21"/>
                <w:szCs w:val="21"/>
              </w:rPr>
            </w:pPr>
            <w:r>
              <w:rPr>
                <w:rFonts w:hint="eastAsia"/>
                <w:sz w:val="21"/>
                <w:szCs w:val="21"/>
              </w:rPr>
              <w:t>作业跑、冒、滴、漏损失</w:t>
            </w:r>
          </w:p>
        </w:tc>
        <w:tc>
          <w:tcPr>
            <w:tcW w:w="922" w:type="dxa"/>
            <w:vMerge w:val="continue"/>
            <w:vAlign w:val="center"/>
          </w:tcPr>
          <w:p>
            <w:pPr>
              <w:pStyle w:val="53"/>
              <w:spacing w:line="240" w:lineRule="auto"/>
              <w:ind w:firstLine="0" w:firstLineChars="0"/>
              <w:jc w:val="center"/>
              <w:rPr>
                <w:sz w:val="21"/>
                <w:szCs w:val="21"/>
              </w:rPr>
            </w:pPr>
          </w:p>
        </w:tc>
        <w:tc>
          <w:tcPr>
            <w:tcW w:w="922" w:type="dxa"/>
            <w:vMerge w:val="continue"/>
            <w:vAlign w:val="center"/>
          </w:tcPr>
          <w:p>
            <w:pPr>
              <w:pStyle w:val="53"/>
              <w:spacing w:line="240" w:lineRule="auto"/>
              <w:ind w:firstLine="0" w:firstLineChars="0"/>
              <w:jc w:val="center"/>
              <w:rPr>
                <w:sz w:val="21"/>
                <w:szCs w:val="21"/>
              </w:rPr>
            </w:pPr>
          </w:p>
        </w:tc>
        <w:tc>
          <w:tcPr>
            <w:tcW w:w="1558" w:type="dxa"/>
            <w:vAlign w:val="center"/>
          </w:tcPr>
          <w:p>
            <w:pPr>
              <w:pStyle w:val="53"/>
              <w:spacing w:line="240" w:lineRule="auto"/>
              <w:ind w:firstLine="0" w:firstLineChars="0"/>
              <w:jc w:val="center"/>
              <w:rPr>
                <w:sz w:val="21"/>
                <w:szCs w:val="21"/>
              </w:rPr>
            </w:pPr>
            <w:r>
              <w:rPr>
                <w:rFonts w:eastAsia="等线"/>
                <w:sz w:val="21"/>
                <w:szCs w:val="21"/>
              </w:rPr>
              <w:t>0.0084</w:t>
            </w:r>
            <w:r>
              <w:rPr>
                <w:sz w:val="21"/>
                <w:szCs w:val="21"/>
              </w:rPr>
              <w:t xml:space="preserve"> kg/m³</w:t>
            </w:r>
          </w:p>
        </w:tc>
        <w:tc>
          <w:tcPr>
            <w:tcW w:w="911" w:type="dxa"/>
            <w:vAlign w:val="center"/>
          </w:tcPr>
          <w:p>
            <w:pPr>
              <w:pStyle w:val="53"/>
              <w:spacing w:line="240" w:lineRule="auto"/>
              <w:ind w:firstLine="0" w:firstLineChars="0"/>
              <w:jc w:val="center"/>
              <w:rPr>
                <w:sz w:val="21"/>
                <w:szCs w:val="21"/>
              </w:rPr>
            </w:pPr>
            <w:r>
              <w:rPr>
                <w:rFonts w:eastAsia="等线"/>
                <w:sz w:val="21"/>
                <w:szCs w:val="21"/>
              </w:rPr>
              <w:t>0.094</w:t>
            </w:r>
          </w:p>
        </w:tc>
        <w:tc>
          <w:tcPr>
            <w:tcW w:w="1062" w:type="dxa"/>
            <w:vAlign w:val="center"/>
          </w:tcPr>
          <w:p>
            <w:pPr>
              <w:pStyle w:val="53"/>
              <w:spacing w:line="240" w:lineRule="auto"/>
              <w:ind w:firstLine="0" w:firstLineChars="0"/>
              <w:jc w:val="center"/>
              <w:rPr>
                <w:sz w:val="21"/>
                <w:szCs w:val="21"/>
              </w:rPr>
            </w:pPr>
            <w:r>
              <w:rPr>
                <w:rFonts w:eastAsia="等线"/>
                <w:sz w:val="21"/>
                <w:szCs w:val="21"/>
              </w:rPr>
              <w:t>0</w:t>
            </w:r>
          </w:p>
        </w:tc>
        <w:tc>
          <w:tcPr>
            <w:tcW w:w="923" w:type="dxa"/>
            <w:vAlign w:val="center"/>
          </w:tcPr>
          <w:p>
            <w:pPr>
              <w:pStyle w:val="53"/>
              <w:spacing w:line="240" w:lineRule="auto"/>
              <w:ind w:firstLine="0" w:firstLineChars="0"/>
              <w:jc w:val="center"/>
              <w:rPr>
                <w:sz w:val="21"/>
                <w:szCs w:val="21"/>
              </w:rPr>
            </w:pPr>
            <w:r>
              <w:rPr>
                <w:rFonts w:eastAsia="等线"/>
                <w:sz w:val="21"/>
                <w:szCs w:val="21"/>
              </w:rPr>
              <w:t>0.094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trPr>
        <w:tc>
          <w:tcPr>
            <w:tcW w:w="426" w:type="dxa"/>
            <w:vMerge w:val="restart"/>
            <w:vAlign w:val="center"/>
          </w:tcPr>
          <w:p>
            <w:pPr>
              <w:pStyle w:val="53"/>
              <w:spacing w:line="240" w:lineRule="auto"/>
              <w:ind w:firstLine="0" w:firstLineChars="0"/>
              <w:jc w:val="center"/>
              <w:rPr>
                <w:sz w:val="21"/>
                <w:szCs w:val="21"/>
              </w:rPr>
            </w:pPr>
            <w:r>
              <w:rPr>
                <w:rFonts w:hint="eastAsia"/>
                <w:sz w:val="21"/>
                <w:szCs w:val="21"/>
              </w:rPr>
              <w:t>柴油</w:t>
            </w:r>
          </w:p>
        </w:tc>
        <w:tc>
          <w:tcPr>
            <w:tcW w:w="1559" w:type="dxa"/>
            <w:vAlign w:val="center"/>
          </w:tcPr>
          <w:p>
            <w:pPr>
              <w:pStyle w:val="53"/>
              <w:spacing w:line="240" w:lineRule="auto"/>
              <w:ind w:firstLine="0" w:firstLineChars="0"/>
              <w:jc w:val="center"/>
              <w:rPr>
                <w:sz w:val="21"/>
                <w:szCs w:val="21"/>
              </w:rPr>
            </w:pPr>
            <w:r>
              <w:rPr>
                <w:rFonts w:hint="eastAsia"/>
                <w:sz w:val="21"/>
                <w:szCs w:val="21"/>
              </w:rPr>
              <w:t>储罐小呼吸</w:t>
            </w:r>
          </w:p>
        </w:tc>
        <w:tc>
          <w:tcPr>
            <w:tcW w:w="922" w:type="dxa"/>
            <w:vMerge w:val="restart"/>
            <w:vAlign w:val="center"/>
          </w:tcPr>
          <w:p>
            <w:pPr>
              <w:pStyle w:val="53"/>
              <w:spacing w:line="240" w:lineRule="auto"/>
              <w:ind w:firstLine="0" w:firstLineChars="0"/>
              <w:jc w:val="center"/>
              <w:rPr>
                <w:sz w:val="21"/>
                <w:szCs w:val="21"/>
              </w:rPr>
            </w:pPr>
            <w:r>
              <w:rPr>
                <w:rFonts w:eastAsia="等线"/>
                <w:sz w:val="21"/>
                <w:szCs w:val="21"/>
              </w:rPr>
              <w:t>1300</w:t>
            </w:r>
          </w:p>
        </w:tc>
        <w:tc>
          <w:tcPr>
            <w:tcW w:w="922" w:type="dxa"/>
            <w:vMerge w:val="restart"/>
            <w:vAlign w:val="center"/>
          </w:tcPr>
          <w:p>
            <w:pPr>
              <w:pStyle w:val="53"/>
              <w:spacing w:line="240" w:lineRule="auto"/>
              <w:ind w:firstLine="0" w:firstLineChars="0"/>
              <w:jc w:val="center"/>
              <w:rPr>
                <w:sz w:val="21"/>
                <w:szCs w:val="21"/>
              </w:rPr>
            </w:pPr>
            <w:r>
              <w:rPr>
                <w:rFonts w:eastAsia="等线"/>
                <w:sz w:val="21"/>
                <w:szCs w:val="21"/>
              </w:rPr>
              <w:t>1529</w:t>
            </w:r>
          </w:p>
        </w:tc>
        <w:tc>
          <w:tcPr>
            <w:tcW w:w="1558" w:type="dxa"/>
            <w:vAlign w:val="center"/>
          </w:tcPr>
          <w:p>
            <w:pPr>
              <w:pStyle w:val="53"/>
              <w:spacing w:line="240" w:lineRule="auto"/>
              <w:ind w:firstLine="0" w:firstLineChars="0"/>
              <w:jc w:val="center"/>
              <w:rPr>
                <w:sz w:val="21"/>
                <w:szCs w:val="21"/>
              </w:rPr>
            </w:pPr>
            <w:r>
              <w:rPr>
                <w:rFonts w:hint="eastAsia"/>
                <w:sz w:val="21"/>
                <w:szCs w:val="21"/>
              </w:rPr>
              <w:t>0</w:t>
            </w:r>
          </w:p>
        </w:tc>
        <w:tc>
          <w:tcPr>
            <w:tcW w:w="911" w:type="dxa"/>
            <w:vAlign w:val="center"/>
          </w:tcPr>
          <w:p>
            <w:pPr>
              <w:pStyle w:val="53"/>
              <w:spacing w:line="240" w:lineRule="auto"/>
              <w:ind w:firstLine="0" w:firstLineChars="0"/>
              <w:jc w:val="center"/>
              <w:rPr>
                <w:sz w:val="21"/>
                <w:szCs w:val="21"/>
              </w:rPr>
            </w:pPr>
            <w:r>
              <w:rPr>
                <w:rFonts w:eastAsia="等线"/>
                <w:sz w:val="21"/>
                <w:szCs w:val="21"/>
              </w:rPr>
              <w:t>0.000</w:t>
            </w:r>
          </w:p>
        </w:tc>
        <w:tc>
          <w:tcPr>
            <w:tcW w:w="1062" w:type="dxa"/>
            <w:vAlign w:val="center"/>
          </w:tcPr>
          <w:p>
            <w:pPr>
              <w:pStyle w:val="53"/>
              <w:spacing w:line="240" w:lineRule="auto"/>
              <w:ind w:firstLine="0" w:firstLineChars="0"/>
              <w:jc w:val="center"/>
              <w:rPr>
                <w:sz w:val="21"/>
                <w:szCs w:val="21"/>
              </w:rPr>
            </w:pPr>
            <w:r>
              <w:rPr>
                <w:rFonts w:hint="eastAsia"/>
                <w:sz w:val="21"/>
                <w:szCs w:val="21"/>
              </w:rPr>
              <w:t>0</w:t>
            </w:r>
          </w:p>
        </w:tc>
        <w:tc>
          <w:tcPr>
            <w:tcW w:w="923" w:type="dxa"/>
            <w:vAlign w:val="center"/>
          </w:tcPr>
          <w:p>
            <w:pPr>
              <w:pStyle w:val="53"/>
              <w:spacing w:line="240" w:lineRule="auto"/>
              <w:ind w:firstLine="0" w:firstLineChars="0"/>
              <w:jc w:val="center"/>
              <w:rPr>
                <w:sz w:val="21"/>
                <w:szCs w:val="21"/>
              </w:rPr>
            </w:pPr>
            <w:r>
              <w:rPr>
                <w:rFonts w:eastAsia="等线"/>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trPr>
        <w:tc>
          <w:tcPr>
            <w:tcW w:w="426" w:type="dxa"/>
            <w:vMerge w:val="continue"/>
            <w:vAlign w:val="center"/>
          </w:tcPr>
          <w:p>
            <w:pPr>
              <w:pStyle w:val="53"/>
              <w:spacing w:line="240" w:lineRule="auto"/>
              <w:ind w:firstLine="0" w:firstLineChars="0"/>
              <w:jc w:val="center"/>
              <w:rPr>
                <w:sz w:val="21"/>
                <w:szCs w:val="21"/>
              </w:rPr>
            </w:pPr>
          </w:p>
        </w:tc>
        <w:tc>
          <w:tcPr>
            <w:tcW w:w="1559" w:type="dxa"/>
            <w:vAlign w:val="center"/>
          </w:tcPr>
          <w:p>
            <w:pPr>
              <w:pStyle w:val="53"/>
              <w:spacing w:line="240" w:lineRule="auto"/>
              <w:ind w:firstLine="0" w:firstLineChars="0"/>
              <w:jc w:val="center"/>
              <w:rPr>
                <w:sz w:val="21"/>
                <w:szCs w:val="21"/>
              </w:rPr>
            </w:pPr>
            <w:r>
              <w:rPr>
                <w:rFonts w:hint="eastAsia"/>
                <w:sz w:val="21"/>
                <w:szCs w:val="21"/>
              </w:rPr>
              <w:t>储罐大呼吸</w:t>
            </w:r>
          </w:p>
        </w:tc>
        <w:tc>
          <w:tcPr>
            <w:tcW w:w="922" w:type="dxa"/>
            <w:vMerge w:val="continue"/>
            <w:vAlign w:val="center"/>
          </w:tcPr>
          <w:p>
            <w:pPr>
              <w:pStyle w:val="53"/>
              <w:spacing w:line="240" w:lineRule="auto"/>
              <w:ind w:firstLine="0" w:firstLineChars="0"/>
              <w:jc w:val="center"/>
              <w:rPr>
                <w:sz w:val="21"/>
                <w:szCs w:val="21"/>
              </w:rPr>
            </w:pPr>
          </w:p>
        </w:tc>
        <w:tc>
          <w:tcPr>
            <w:tcW w:w="922" w:type="dxa"/>
            <w:vMerge w:val="continue"/>
            <w:vAlign w:val="center"/>
          </w:tcPr>
          <w:p>
            <w:pPr>
              <w:pStyle w:val="53"/>
              <w:spacing w:line="240" w:lineRule="auto"/>
              <w:ind w:firstLine="0" w:firstLineChars="0"/>
              <w:jc w:val="center"/>
              <w:rPr>
                <w:sz w:val="21"/>
                <w:szCs w:val="21"/>
              </w:rPr>
            </w:pPr>
          </w:p>
        </w:tc>
        <w:tc>
          <w:tcPr>
            <w:tcW w:w="1558" w:type="dxa"/>
            <w:vAlign w:val="center"/>
          </w:tcPr>
          <w:p>
            <w:pPr>
              <w:pStyle w:val="53"/>
              <w:spacing w:line="240" w:lineRule="auto"/>
              <w:ind w:firstLine="0" w:firstLineChars="0"/>
              <w:jc w:val="center"/>
              <w:rPr>
                <w:sz w:val="21"/>
                <w:szCs w:val="21"/>
              </w:rPr>
            </w:pPr>
            <w:r>
              <w:rPr>
                <w:rFonts w:eastAsia="等线"/>
                <w:sz w:val="21"/>
                <w:szCs w:val="21"/>
              </w:rPr>
              <w:t>0.027</w:t>
            </w:r>
            <w:r>
              <w:rPr>
                <w:sz w:val="21"/>
                <w:szCs w:val="21"/>
              </w:rPr>
              <w:t xml:space="preserve"> kg/</w:t>
            </w:r>
            <w:r>
              <w:rPr>
                <w:rFonts w:hint="eastAsia"/>
                <w:sz w:val="21"/>
                <w:szCs w:val="21"/>
              </w:rPr>
              <w:t>t</w:t>
            </w:r>
          </w:p>
        </w:tc>
        <w:tc>
          <w:tcPr>
            <w:tcW w:w="911" w:type="dxa"/>
            <w:vAlign w:val="center"/>
          </w:tcPr>
          <w:p>
            <w:pPr>
              <w:pStyle w:val="53"/>
              <w:spacing w:line="240" w:lineRule="auto"/>
              <w:ind w:firstLine="0" w:firstLineChars="0"/>
              <w:jc w:val="center"/>
              <w:rPr>
                <w:sz w:val="21"/>
                <w:szCs w:val="21"/>
              </w:rPr>
            </w:pPr>
            <w:r>
              <w:rPr>
                <w:rFonts w:eastAsia="等线"/>
                <w:sz w:val="21"/>
                <w:szCs w:val="21"/>
              </w:rPr>
              <w:t>0.035</w:t>
            </w:r>
          </w:p>
        </w:tc>
        <w:tc>
          <w:tcPr>
            <w:tcW w:w="1062" w:type="dxa"/>
            <w:vAlign w:val="center"/>
          </w:tcPr>
          <w:p>
            <w:pPr>
              <w:pStyle w:val="53"/>
              <w:spacing w:line="240" w:lineRule="auto"/>
              <w:ind w:firstLine="0" w:firstLineChars="0"/>
              <w:jc w:val="center"/>
              <w:rPr>
                <w:sz w:val="21"/>
                <w:szCs w:val="21"/>
              </w:rPr>
            </w:pPr>
            <w:r>
              <w:rPr>
                <w:rFonts w:eastAsia="等线"/>
                <w:sz w:val="21"/>
                <w:szCs w:val="21"/>
              </w:rPr>
              <w:t>0</w:t>
            </w:r>
          </w:p>
        </w:tc>
        <w:tc>
          <w:tcPr>
            <w:tcW w:w="923" w:type="dxa"/>
            <w:vAlign w:val="center"/>
          </w:tcPr>
          <w:p>
            <w:pPr>
              <w:pStyle w:val="53"/>
              <w:spacing w:line="240" w:lineRule="auto"/>
              <w:ind w:firstLine="0" w:firstLineChars="0"/>
              <w:jc w:val="center"/>
              <w:rPr>
                <w:sz w:val="21"/>
                <w:szCs w:val="21"/>
              </w:rPr>
            </w:pPr>
            <w:r>
              <w:rPr>
                <w:rFonts w:eastAsia="等线"/>
                <w:sz w:val="21"/>
                <w:szCs w:val="21"/>
              </w:rPr>
              <w:t>0.035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trPr>
        <w:tc>
          <w:tcPr>
            <w:tcW w:w="426" w:type="dxa"/>
            <w:vMerge w:val="continue"/>
            <w:vAlign w:val="center"/>
          </w:tcPr>
          <w:p>
            <w:pPr>
              <w:pStyle w:val="53"/>
              <w:spacing w:line="240" w:lineRule="auto"/>
              <w:ind w:firstLine="0" w:firstLineChars="0"/>
              <w:jc w:val="center"/>
              <w:rPr>
                <w:sz w:val="21"/>
                <w:szCs w:val="21"/>
              </w:rPr>
            </w:pPr>
          </w:p>
        </w:tc>
        <w:tc>
          <w:tcPr>
            <w:tcW w:w="1559" w:type="dxa"/>
            <w:vAlign w:val="center"/>
          </w:tcPr>
          <w:p>
            <w:pPr>
              <w:pStyle w:val="53"/>
              <w:spacing w:line="240" w:lineRule="auto"/>
              <w:ind w:firstLine="0" w:firstLineChars="0"/>
              <w:jc w:val="center"/>
              <w:rPr>
                <w:sz w:val="21"/>
                <w:szCs w:val="21"/>
              </w:rPr>
            </w:pPr>
            <w:r>
              <w:rPr>
                <w:rFonts w:hint="eastAsia"/>
                <w:sz w:val="21"/>
                <w:szCs w:val="21"/>
              </w:rPr>
              <w:t>加油作业损失</w:t>
            </w:r>
          </w:p>
        </w:tc>
        <w:tc>
          <w:tcPr>
            <w:tcW w:w="922" w:type="dxa"/>
            <w:vMerge w:val="continue"/>
            <w:vAlign w:val="center"/>
          </w:tcPr>
          <w:p>
            <w:pPr>
              <w:pStyle w:val="53"/>
              <w:spacing w:line="240" w:lineRule="auto"/>
              <w:ind w:firstLine="0" w:firstLineChars="0"/>
              <w:jc w:val="center"/>
              <w:rPr>
                <w:sz w:val="21"/>
                <w:szCs w:val="21"/>
              </w:rPr>
            </w:pPr>
          </w:p>
        </w:tc>
        <w:tc>
          <w:tcPr>
            <w:tcW w:w="922" w:type="dxa"/>
            <w:vMerge w:val="continue"/>
            <w:vAlign w:val="center"/>
          </w:tcPr>
          <w:p>
            <w:pPr>
              <w:pStyle w:val="53"/>
              <w:spacing w:line="240" w:lineRule="auto"/>
              <w:ind w:firstLine="0" w:firstLineChars="0"/>
              <w:jc w:val="center"/>
              <w:rPr>
                <w:sz w:val="21"/>
                <w:szCs w:val="21"/>
              </w:rPr>
            </w:pPr>
          </w:p>
        </w:tc>
        <w:tc>
          <w:tcPr>
            <w:tcW w:w="1558" w:type="dxa"/>
            <w:vAlign w:val="center"/>
          </w:tcPr>
          <w:p>
            <w:pPr>
              <w:pStyle w:val="53"/>
              <w:spacing w:line="240" w:lineRule="auto"/>
              <w:ind w:firstLine="0" w:firstLineChars="0"/>
              <w:jc w:val="center"/>
              <w:rPr>
                <w:sz w:val="21"/>
                <w:szCs w:val="21"/>
              </w:rPr>
            </w:pPr>
            <w:r>
              <w:rPr>
                <w:rFonts w:eastAsia="等线"/>
                <w:sz w:val="21"/>
                <w:szCs w:val="21"/>
              </w:rPr>
              <w:t>0.048</w:t>
            </w:r>
            <w:r>
              <w:rPr>
                <w:sz w:val="21"/>
                <w:szCs w:val="21"/>
              </w:rPr>
              <w:t xml:space="preserve"> kg/</w:t>
            </w:r>
            <w:r>
              <w:rPr>
                <w:rFonts w:hint="eastAsia"/>
                <w:sz w:val="21"/>
                <w:szCs w:val="21"/>
              </w:rPr>
              <w:t>t</w:t>
            </w:r>
          </w:p>
        </w:tc>
        <w:tc>
          <w:tcPr>
            <w:tcW w:w="911" w:type="dxa"/>
            <w:vAlign w:val="center"/>
          </w:tcPr>
          <w:p>
            <w:pPr>
              <w:pStyle w:val="53"/>
              <w:spacing w:line="240" w:lineRule="auto"/>
              <w:ind w:firstLine="0" w:firstLineChars="0"/>
              <w:jc w:val="center"/>
              <w:rPr>
                <w:sz w:val="21"/>
                <w:szCs w:val="21"/>
              </w:rPr>
            </w:pPr>
            <w:r>
              <w:rPr>
                <w:rFonts w:eastAsia="等线"/>
                <w:sz w:val="21"/>
                <w:szCs w:val="21"/>
              </w:rPr>
              <w:t>0.062</w:t>
            </w:r>
          </w:p>
        </w:tc>
        <w:tc>
          <w:tcPr>
            <w:tcW w:w="1062" w:type="dxa"/>
            <w:vAlign w:val="center"/>
          </w:tcPr>
          <w:p>
            <w:pPr>
              <w:pStyle w:val="53"/>
              <w:spacing w:line="240" w:lineRule="auto"/>
              <w:ind w:firstLine="0" w:firstLineChars="0"/>
              <w:jc w:val="center"/>
              <w:rPr>
                <w:sz w:val="21"/>
                <w:szCs w:val="21"/>
              </w:rPr>
            </w:pPr>
            <w:r>
              <w:rPr>
                <w:rFonts w:eastAsia="等线"/>
                <w:sz w:val="21"/>
                <w:szCs w:val="21"/>
              </w:rPr>
              <w:t>0</w:t>
            </w:r>
          </w:p>
        </w:tc>
        <w:tc>
          <w:tcPr>
            <w:tcW w:w="923" w:type="dxa"/>
            <w:vAlign w:val="center"/>
          </w:tcPr>
          <w:p>
            <w:pPr>
              <w:pStyle w:val="53"/>
              <w:spacing w:line="240" w:lineRule="auto"/>
              <w:ind w:firstLine="0" w:firstLineChars="0"/>
              <w:jc w:val="center"/>
              <w:rPr>
                <w:sz w:val="21"/>
                <w:szCs w:val="21"/>
              </w:rPr>
            </w:pPr>
            <w:r>
              <w:rPr>
                <w:rFonts w:eastAsia="等线"/>
                <w:sz w:val="21"/>
                <w:szCs w:val="21"/>
              </w:rPr>
              <w:t>0.062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trPr>
        <w:tc>
          <w:tcPr>
            <w:tcW w:w="426" w:type="dxa"/>
            <w:vMerge w:val="continue"/>
            <w:vAlign w:val="center"/>
          </w:tcPr>
          <w:p>
            <w:pPr>
              <w:pStyle w:val="53"/>
              <w:spacing w:line="240" w:lineRule="auto"/>
              <w:ind w:firstLine="0" w:firstLineChars="0"/>
              <w:jc w:val="center"/>
              <w:rPr>
                <w:sz w:val="21"/>
                <w:szCs w:val="21"/>
              </w:rPr>
            </w:pPr>
          </w:p>
        </w:tc>
        <w:tc>
          <w:tcPr>
            <w:tcW w:w="1559" w:type="dxa"/>
            <w:vAlign w:val="center"/>
          </w:tcPr>
          <w:p>
            <w:pPr>
              <w:pStyle w:val="53"/>
              <w:spacing w:line="240" w:lineRule="auto"/>
              <w:ind w:firstLine="0" w:firstLineChars="0"/>
              <w:jc w:val="center"/>
              <w:rPr>
                <w:sz w:val="21"/>
                <w:szCs w:val="21"/>
              </w:rPr>
            </w:pPr>
            <w:r>
              <w:rPr>
                <w:rFonts w:hint="eastAsia"/>
                <w:sz w:val="21"/>
                <w:szCs w:val="21"/>
              </w:rPr>
              <w:t>作业跑、冒、滴、漏损失</w:t>
            </w:r>
          </w:p>
        </w:tc>
        <w:tc>
          <w:tcPr>
            <w:tcW w:w="922" w:type="dxa"/>
            <w:vMerge w:val="continue"/>
            <w:vAlign w:val="center"/>
          </w:tcPr>
          <w:p>
            <w:pPr>
              <w:pStyle w:val="53"/>
              <w:spacing w:line="240" w:lineRule="auto"/>
              <w:ind w:firstLine="0" w:firstLineChars="0"/>
              <w:jc w:val="center"/>
              <w:rPr>
                <w:sz w:val="21"/>
                <w:szCs w:val="21"/>
              </w:rPr>
            </w:pPr>
          </w:p>
        </w:tc>
        <w:tc>
          <w:tcPr>
            <w:tcW w:w="922" w:type="dxa"/>
            <w:vMerge w:val="continue"/>
            <w:vAlign w:val="center"/>
          </w:tcPr>
          <w:p>
            <w:pPr>
              <w:pStyle w:val="53"/>
              <w:spacing w:line="240" w:lineRule="auto"/>
              <w:ind w:firstLine="0" w:firstLineChars="0"/>
              <w:jc w:val="center"/>
              <w:rPr>
                <w:sz w:val="21"/>
                <w:szCs w:val="21"/>
              </w:rPr>
            </w:pPr>
          </w:p>
        </w:tc>
        <w:tc>
          <w:tcPr>
            <w:tcW w:w="1558" w:type="dxa"/>
            <w:vAlign w:val="center"/>
          </w:tcPr>
          <w:p>
            <w:pPr>
              <w:pStyle w:val="53"/>
              <w:spacing w:line="240" w:lineRule="auto"/>
              <w:ind w:firstLine="0" w:firstLineChars="0"/>
              <w:jc w:val="center"/>
              <w:rPr>
                <w:sz w:val="21"/>
                <w:szCs w:val="21"/>
              </w:rPr>
            </w:pPr>
            <w:r>
              <w:rPr>
                <w:rFonts w:eastAsia="等线"/>
                <w:sz w:val="21"/>
                <w:szCs w:val="21"/>
              </w:rPr>
              <w:t>0.0084</w:t>
            </w:r>
            <w:r>
              <w:rPr>
                <w:sz w:val="21"/>
                <w:szCs w:val="21"/>
              </w:rPr>
              <w:t xml:space="preserve"> kg/m³</w:t>
            </w:r>
          </w:p>
        </w:tc>
        <w:tc>
          <w:tcPr>
            <w:tcW w:w="911" w:type="dxa"/>
            <w:vAlign w:val="center"/>
          </w:tcPr>
          <w:p>
            <w:pPr>
              <w:pStyle w:val="53"/>
              <w:spacing w:line="240" w:lineRule="auto"/>
              <w:ind w:firstLine="0" w:firstLineChars="0"/>
              <w:jc w:val="center"/>
              <w:rPr>
                <w:sz w:val="21"/>
                <w:szCs w:val="21"/>
              </w:rPr>
            </w:pPr>
            <w:r>
              <w:rPr>
                <w:rFonts w:eastAsia="等线"/>
                <w:sz w:val="21"/>
                <w:szCs w:val="21"/>
              </w:rPr>
              <w:t>0.013</w:t>
            </w:r>
          </w:p>
        </w:tc>
        <w:tc>
          <w:tcPr>
            <w:tcW w:w="1062" w:type="dxa"/>
            <w:vAlign w:val="center"/>
          </w:tcPr>
          <w:p>
            <w:pPr>
              <w:pStyle w:val="53"/>
              <w:spacing w:line="240" w:lineRule="auto"/>
              <w:ind w:firstLine="0" w:firstLineChars="0"/>
              <w:jc w:val="center"/>
              <w:rPr>
                <w:sz w:val="21"/>
                <w:szCs w:val="21"/>
              </w:rPr>
            </w:pPr>
            <w:r>
              <w:rPr>
                <w:rFonts w:eastAsia="等线"/>
                <w:sz w:val="21"/>
                <w:szCs w:val="21"/>
              </w:rPr>
              <w:t>0</w:t>
            </w:r>
          </w:p>
        </w:tc>
        <w:tc>
          <w:tcPr>
            <w:tcW w:w="923" w:type="dxa"/>
            <w:vAlign w:val="center"/>
          </w:tcPr>
          <w:p>
            <w:pPr>
              <w:pStyle w:val="53"/>
              <w:spacing w:line="240" w:lineRule="auto"/>
              <w:ind w:firstLine="0" w:firstLineChars="0"/>
              <w:jc w:val="center"/>
              <w:rPr>
                <w:sz w:val="21"/>
                <w:szCs w:val="21"/>
              </w:rPr>
            </w:pPr>
            <w:r>
              <w:rPr>
                <w:rFonts w:eastAsia="等线"/>
                <w:sz w:val="21"/>
                <w:szCs w:val="21"/>
              </w:rPr>
              <w:t>0.013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trPr>
        <w:tc>
          <w:tcPr>
            <w:tcW w:w="5387" w:type="dxa"/>
            <w:gridSpan w:val="5"/>
            <w:vAlign w:val="center"/>
          </w:tcPr>
          <w:p>
            <w:pPr>
              <w:pStyle w:val="53"/>
              <w:spacing w:line="240" w:lineRule="auto"/>
              <w:ind w:firstLine="0" w:firstLineChars="0"/>
              <w:jc w:val="center"/>
              <w:rPr>
                <w:sz w:val="21"/>
                <w:szCs w:val="21"/>
              </w:rPr>
            </w:pPr>
            <w:r>
              <w:rPr>
                <w:rFonts w:hint="eastAsia"/>
                <w:sz w:val="21"/>
                <w:szCs w:val="21"/>
              </w:rPr>
              <w:t>合计</w:t>
            </w:r>
          </w:p>
        </w:tc>
        <w:tc>
          <w:tcPr>
            <w:tcW w:w="911" w:type="dxa"/>
            <w:vAlign w:val="center"/>
          </w:tcPr>
          <w:p>
            <w:pPr>
              <w:pStyle w:val="53"/>
              <w:spacing w:line="240" w:lineRule="auto"/>
              <w:ind w:firstLine="0" w:firstLineChars="0"/>
              <w:jc w:val="center"/>
              <w:rPr>
                <w:sz w:val="21"/>
                <w:szCs w:val="21"/>
              </w:rPr>
            </w:pPr>
            <w:r>
              <w:rPr>
                <w:rFonts w:hint="eastAsia"/>
                <w:sz w:val="21"/>
                <w:szCs w:val="21"/>
              </w:rPr>
              <w:t>4</w:t>
            </w:r>
            <w:r>
              <w:rPr>
                <w:sz w:val="21"/>
                <w:szCs w:val="21"/>
              </w:rPr>
              <w:t>0.919</w:t>
            </w:r>
          </w:p>
        </w:tc>
        <w:tc>
          <w:tcPr>
            <w:tcW w:w="1062" w:type="dxa"/>
            <w:vAlign w:val="center"/>
          </w:tcPr>
          <w:p>
            <w:pPr>
              <w:pStyle w:val="53"/>
              <w:spacing w:line="240" w:lineRule="auto"/>
              <w:ind w:firstLine="0" w:firstLineChars="0"/>
              <w:jc w:val="center"/>
              <w:rPr>
                <w:sz w:val="21"/>
                <w:szCs w:val="21"/>
              </w:rPr>
            </w:pPr>
            <w:r>
              <w:rPr>
                <w:rFonts w:hint="eastAsia" w:eastAsia="等线"/>
                <w:sz w:val="21"/>
                <w:szCs w:val="21"/>
              </w:rPr>
              <w:t>/</w:t>
            </w:r>
          </w:p>
        </w:tc>
        <w:tc>
          <w:tcPr>
            <w:tcW w:w="923" w:type="dxa"/>
            <w:vAlign w:val="center"/>
          </w:tcPr>
          <w:p>
            <w:pPr>
              <w:pStyle w:val="53"/>
              <w:spacing w:line="240" w:lineRule="auto"/>
              <w:ind w:firstLine="0" w:firstLineChars="0"/>
              <w:jc w:val="center"/>
              <w:rPr>
                <w:sz w:val="21"/>
                <w:szCs w:val="21"/>
              </w:rPr>
            </w:pPr>
            <w:r>
              <w:rPr>
                <w:rFonts w:eastAsia="等线"/>
                <w:sz w:val="21"/>
                <w:szCs w:val="21"/>
              </w:rPr>
              <w:t>2.240</w:t>
            </w:r>
          </w:p>
        </w:tc>
      </w:tr>
    </w:tbl>
    <w:p>
      <w:pPr>
        <w:autoSpaceDE w:val="0"/>
        <w:autoSpaceDN w:val="0"/>
        <w:adjustRightInd w:val="0"/>
        <w:ind w:firstLine="480"/>
        <w:textAlignment w:val="baseline"/>
        <w:rPr>
          <w:bCs/>
        </w:rPr>
      </w:pPr>
      <w:r>
        <w:rPr>
          <w:rFonts w:hint="eastAsia"/>
          <w:bCs/>
        </w:rPr>
        <w:t>汽油经配套三次油气回收系统回收处理后，无组织排放，油气回收系统回收率按9</w:t>
      </w:r>
      <w:r>
        <w:rPr>
          <w:bCs/>
        </w:rPr>
        <w:t>5%</w:t>
      </w:r>
      <w:r>
        <w:rPr>
          <w:rFonts w:hint="eastAsia"/>
          <w:bCs/>
        </w:rPr>
        <w:t>算。柴油的蒸气压太低，蒸气压越低越难挥发，运营期柴油产生的油气量少，因此本项目仅对汽油设置三次油气回收系统。</w:t>
      </w:r>
    </w:p>
    <w:p>
      <w:pPr>
        <w:autoSpaceDE w:val="0"/>
        <w:autoSpaceDN w:val="0"/>
        <w:adjustRightInd w:val="0"/>
        <w:ind w:firstLine="480"/>
        <w:textAlignment w:val="baseline"/>
        <w:rPr>
          <w:bCs/>
        </w:rPr>
      </w:pPr>
      <w:r>
        <w:rPr>
          <w:rFonts w:hint="eastAsia"/>
          <w:bCs/>
        </w:rPr>
        <w:t>本项目废气治理措施详见图4-2。</w:t>
      </w:r>
    </w:p>
    <w:tbl>
      <w:tblPr>
        <w:tblStyle w:val="23"/>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296" w:type="dxa"/>
          </w:tcPr>
          <w:p>
            <w:pPr>
              <w:pStyle w:val="35"/>
              <w:spacing w:line="360" w:lineRule="auto"/>
            </w:pPr>
            <w:r>
              <w:drawing>
                <wp:inline distT="0" distB="0" distL="0" distR="0">
                  <wp:extent cx="3747770" cy="2811780"/>
                  <wp:effectExtent l="0" t="0" r="5080" b="7620"/>
                  <wp:docPr id="2058091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09195" name="图片 4"/>
                          <pic:cNvPicPr>
                            <a:picLocks noChangeAspect="1" noChangeArrowheads="1"/>
                          </pic:cNvPicPr>
                        </pic:nvPicPr>
                        <pic:blipFill>
                          <a:blip r:embed="rId24"/>
                          <a:srcRect/>
                          <a:stretch>
                            <a:fillRect/>
                          </a:stretch>
                        </pic:blipFill>
                        <pic:spPr>
                          <a:xfrm rot="10800000">
                            <a:off x="0" y="0"/>
                            <a:ext cx="3753499" cy="2816254"/>
                          </a:xfrm>
                          <a:prstGeom prst="rect">
                            <a:avLst/>
                          </a:prstGeom>
                          <a:noFill/>
                          <a:ln>
                            <a:noFill/>
                          </a:ln>
                        </pic:spPr>
                      </pic:pic>
                    </a:graphicData>
                  </a:graphic>
                </wp:inline>
              </w:drawing>
            </w:r>
          </w:p>
          <w:p>
            <w:pPr>
              <w:pStyle w:val="35"/>
              <w:spacing w:line="360" w:lineRule="auto"/>
            </w:pPr>
            <w:r>
              <w:rPr>
                <w:rFonts w:hint="eastAsia"/>
              </w:rPr>
              <w:t>三次油气回收系统</w:t>
            </w:r>
          </w:p>
        </w:tc>
      </w:tr>
    </w:tbl>
    <w:p>
      <w:pPr>
        <w:pStyle w:val="35"/>
        <w:spacing w:line="360" w:lineRule="auto"/>
      </w:pPr>
      <w:r>
        <w:rPr>
          <w:rFonts w:hint="eastAsia"/>
        </w:rPr>
        <w:t>图4</w:t>
      </w:r>
      <w:r>
        <w:t>-</w:t>
      </w:r>
      <w:r>
        <w:rPr>
          <w:rFonts w:hint="eastAsia"/>
        </w:rPr>
        <w:t>2</w:t>
      </w:r>
      <w:r>
        <w:t xml:space="preserve">  </w:t>
      </w:r>
      <w:r>
        <w:rPr>
          <w:rFonts w:hint="eastAsia"/>
        </w:rPr>
        <w:t>废气处理设施现场照片</w:t>
      </w:r>
    </w:p>
    <w:p>
      <w:pPr>
        <w:autoSpaceDE w:val="0"/>
        <w:autoSpaceDN w:val="0"/>
        <w:adjustRightInd w:val="0"/>
        <w:ind w:firstLine="480"/>
        <w:textAlignment w:val="baseline"/>
      </w:pPr>
      <w:bookmarkStart w:id="34" w:name="_Toc156491644"/>
      <w:r>
        <w:t>（2）</w:t>
      </w:r>
      <w:r>
        <w:rPr>
          <w:rFonts w:hint="eastAsia"/>
        </w:rPr>
        <w:t>车辆尾气</w:t>
      </w:r>
    </w:p>
    <w:p>
      <w:pPr>
        <w:autoSpaceDE w:val="0"/>
        <w:autoSpaceDN w:val="0"/>
        <w:adjustRightInd w:val="0"/>
        <w:ind w:firstLine="480"/>
        <w:textAlignment w:val="baseline"/>
        <w:rPr>
          <w:bCs/>
        </w:rPr>
      </w:pPr>
      <w:r>
        <w:rPr>
          <w:rFonts w:hint="eastAsia"/>
          <w:bCs/>
        </w:rPr>
        <w:t>对于进入加油站的汽车排放的汽车废气包括排气管尾气、曲轴箱漏气、油箱和化油箱到燃料系统之间的泄漏等，汽车的废气的主要污染因子有NO</w:t>
      </w:r>
      <w:r>
        <w:rPr>
          <w:rFonts w:hint="eastAsia"/>
          <w:bCs/>
          <w:vertAlign w:val="subscript"/>
        </w:rPr>
        <w:t>X</w:t>
      </w:r>
      <w:r>
        <w:rPr>
          <w:rFonts w:hint="eastAsia"/>
          <w:bCs/>
        </w:rPr>
        <w:t>、</w:t>
      </w:r>
      <w:r>
        <w:rPr>
          <w:bCs/>
        </w:rPr>
        <w:t>CO</w:t>
      </w:r>
      <w:r>
        <w:rPr>
          <w:rFonts w:hint="eastAsia"/>
          <w:bCs/>
        </w:rPr>
        <w:t>、</w:t>
      </w:r>
      <w:r>
        <w:rPr>
          <w:bCs/>
        </w:rPr>
        <w:t>TSP</w:t>
      </w:r>
      <w:r>
        <w:rPr>
          <w:rFonts w:hint="eastAsia"/>
          <w:bCs/>
        </w:rPr>
        <w:t>等。因进入本项目区域的车流量小、行驶距离短、速度慢，故机动车尾气排放量较小，对周围环境产生的污染较小。只需加强管理，控制行车路线，尽量减少机动车辆启动次数及怠速行驶，以减少机动车尾气的排放，保护本项目区域内的环境空气质量。</w:t>
      </w:r>
    </w:p>
    <w:p>
      <w:pPr>
        <w:pStyle w:val="4"/>
      </w:pPr>
      <w:bookmarkStart w:id="35" w:name="_Toc12880"/>
      <w:bookmarkStart w:id="36" w:name="_Toc164292271"/>
      <w:r>
        <w:rPr>
          <w:rFonts w:hint="eastAsia"/>
        </w:rPr>
        <w:t>噪声</w:t>
      </w:r>
      <w:bookmarkEnd w:id="34"/>
      <w:bookmarkEnd w:id="35"/>
      <w:bookmarkEnd w:id="36"/>
    </w:p>
    <w:p>
      <w:pPr>
        <w:ind w:firstLine="480"/>
      </w:pPr>
      <w:r>
        <w:rPr>
          <w:rFonts w:hint="eastAsia"/>
        </w:rPr>
        <w:t>本项目噪声主要来源于运行经营时设备运行产生的噪声，噪声源主要为加油机、潜油泵等设备，噪声级约65~70dB(A)。通过</w:t>
      </w:r>
      <w:r>
        <w:rPr>
          <w:rFonts w:hint="eastAsia" w:ascii="宋体" w:hAnsi="宋体" w:cs="宋体"/>
          <w:szCs w:val="21"/>
        </w:rPr>
        <w:t>优选设备、合理布局、基础减振、隔声、距离衰减等</w:t>
      </w:r>
      <w:r>
        <w:rPr>
          <w:rFonts w:hint="eastAsia"/>
        </w:rPr>
        <w:t>措施减轻噪声对周边环境的影响。</w:t>
      </w:r>
    </w:p>
    <w:p>
      <w:pPr>
        <w:pStyle w:val="4"/>
      </w:pPr>
      <w:bookmarkStart w:id="37" w:name="_Toc19803"/>
      <w:bookmarkStart w:id="38" w:name="_Toc164292272"/>
      <w:bookmarkStart w:id="39" w:name="_Toc156491645"/>
      <w:r>
        <w:rPr>
          <w:rFonts w:hint="eastAsia"/>
        </w:rPr>
        <w:t>固（液）体废物</w:t>
      </w:r>
      <w:bookmarkEnd w:id="37"/>
      <w:bookmarkEnd w:id="38"/>
      <w:bookmarkEnd w:id="39"/>
    </w:p>
    <w:p>
      <w:pPr>
        <w:adjustRightInd w:val="0"/>
        <w:snapToGrid w:val="0"/>
        <w:ind w:firstLine="480"/>
        <w:rPr>
          <w:szCs w:val="24"/>
        </w:rPr>
      </w:pPr>
      <w:r>
        <w:rPr>
          <w:rFonts w:hint="eastAsia"/>
          <w:szCs w:val="24"/>
        </w:rPr>
        <w:t>本项目产生的固废主要包括</w:t>
      </w:r>
      <w:r>
        <w:rPr>
          <w:szCs w:val="24"/>
        </w:rPr>
        <w:t>生活垃圾</w:t>
      </w:r>
      <w:r>
        <w:rPr>
          <w:rFonts w:hint="eastAsia"/>
          <w:szCs w:val="24"/>
        </w:rPr>
        <w:t>、废含油抹布及手套、清罐废渣、隔油池浮油。本项目固废产生和处置情况见下表4.1-3。</w:t>
      </w:r>
    </w:p>
    <w:p>
      <w:pPr>
        <w:ind w:firstLine="422"/>
        <w:jc w:val="center"/>
        <w:rPr>
          <w:b/>
          <w:sz w:val="21"/>
          <w:szCs w:val="21"/>
        </w:rPr>
      </w:pPr>
      <w:r>
        <w:rPr>
          <w:b/>
          <w:sz w:val="21"/>
          <w:szCs w:val="21"/>
        </w:rPr>
        <w:t>表4</w:t>
      </w:r>
      <w:r>
        <w:rPr>
          <w:rFonts w:hint="eastAsia"/>
          <w:b/>
          <w:sz w:val="21"/>
          <w:szCs w:val="21"/>
        </w:rPr>
        <w:t>.1</w:t>
      </w:r>
      <w:r>
        <w:rPr>
          <w:b/>
          <w:sz w:val="21"/>
          <w:szCs w:val="21"/>
        </w:rPr>
        <w:t>-</w:t>
      </w:r>
      <w:r>
        <w:rPr>
          <w:rFonts w:hint="eastAsia"/>
          <w:b/>
          <w:sz w:val="21"/>
          <w:szCs w:val="21"/>
        </w:rPr>
        <w:t>3</w:t>
      </w:r>
      <w:r>
        <w:rPr>
          <w:b/>
          <w:sz w:val="21"/>
          <w:szCs w:val="21"/>
        </w:rPr>
        <w:t>项目固体废物产排情况一览表</w:t>
      </w:r>
    </w:p>
    <w:tbl>
      <w:tblPr>
        <w:tblStyle w:val="22"/>
        <w:tblW w:w="8522" w:type="dxa"/>
        <w:jc w:val="center"/>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57" w:type="dxa"/>
          <w:left w:w="108" w:type="dxa"/>
          <w:bottom w:w="57" w:type="dxa"/>
          <w:right w:w="108" w:type="dxa"/>
        </w:tblCellMar>
      </w:tblPr>
      <w:tblGrid>
        <w:gridCol w:w="1086"/>
        <w:gridCol w:w="1984"/>
        <w:gridCol w:w="1413"/>
        <w:gridCol w:w="1278"/>
        <w:gridCol w:w="2761"/>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57" w:type="dxa"/>
            <w:left w:w="108" w:type="dxa"/>
            <w:bottom w:w="57" w:type="dxa"/>
            <w:right w:w="108" w:type="dxa"/>
          </w:tblCellMar>
        </w:tblPrEx>
        <w:trPr>
          <w:cantSplit/>
          <w:trHeight w:val="340" w:hRule="atLeast"/>
          <w:jc w:val="center"/>
        </w:trPr>
        <w:tc>
          <w:tcPr>
            <w:tcW w:w="1086" w:type="dxa"/>
            <w:vAlign w:val="center"/>
          </w:tcPr>
          <w:p>
            <w:pPr>
              <w:spacing w:line="240" w:lineRule="auto"/>
              <w:ind w:firstLine="0" w:firstLineChars="0"/>
              <w:jc w:val="center"/>
              <w:rPr>
                <w:sz w:val="21"/>
                <w:szCs w:val="21"/>
              </w:rPr>
            </w:pPr>
            <w:r>
              <w:rPr>
                <w:sz w:val="21"/>
                <w:szCs w:val="21"/>
              </w:rPr>
              <w:t>固废类型</w:t>
            </w:r>
          </w:p>
        </w:tc>
        <w:tc>
          <w:tcPr>
            <w:tcW w:w="1984" w:type="dxa"/>
            <w:tcBorders>
              <w:right w:val="single" w:color="auto" w:sz="4" w:space="0"/>
            </w:tcBorders>
            <w:vAlign w:val="center"/>
          </w:tcPr>
          <w:p>
            <w:pPr>
              <w:spacing w:line="240" w:lineRule="auto"/>
              <w:ind w:firstLine="0" w:firstLineChars="0"/>
              <w:jc w:val="center"/>
              <w:rPr>
                <w:sz w:val="21"/>
                <w:szCs w:val="21"/>
              </w:rPr>
            </w:pPr>
            <w:r>
              <w:rPr>
                <w:sz w:val="21"/>
                <w:szCs w:val="21"/>
              </w:rPr>
              <w:t>污染源</w:t>
            </w:r>
          </w:p>
        </w:tc>
        <w:tc>
          <w:tcPr>
            <w:tcW w:w="1413" w:type="dxa"/>
            <w:tcBorders>
              <w:left w:val="single" w:color="auto" w:sz="4" w:space="0"/>
            </w:tcBorders>
            <w:vAlign w:val="center"/>
          </w:tcPr>
          <w:p>
            <w:pPr>
              <w:spacing w:line="240" w:lineRule="auto"/>
              <w:ind w:firstLine="0" w:firstLineChars="0"/>
              <w:jc w:val="center"/>
              <w:rPr>
                <w:sz w:val="21"/>
                <w:szCs w:val="21"/>
              </w:rPr>
            </w:pPr>
            <w:r>
              <w:rPr>
                <w:sz w:val="21"/>
                <w:szCs w:val="21"/>
              </w:rPr>
              <w:t>废物代码</w:t>
            </w:r>
          </w:p>
        </w:tc>
        <w:tc>
          <w:tcPr>
            <w:tcW w:w="1278" w:type="dxa"/>
            <w:vAlign w:val="center"/>
          </w:tcPr>
          <w:p>
            <w:pPr>
              <w:spacing w:line="240" w:lineRule="auto"/>
              <w:ind w:firstLine="0" w:firstLineChars="0"/>
              <w:jc w:val="center"/>
              <w:rPr>
                <w:sz w:val="21"/>
                <w:szCs w:val="21"/>
              </w:rPr>
            </w:pPr>
            <w:r>
              <w:rPr>
                <w:sz w:val="21"/>
                <w:szCs w:val="21"/>
              </w:rPr>
              <w:t>产生量t/a</w:t>
            </w:r>
          </w:p>
        </w:tc>
        <w:tc>
          <w:tcPr>
            <w:tcW w:w="2761" w:type="dxa"/>
            <w:vAlign w:val="center"/>
          </w:tcPr>
          <w:p>
            <w:pPr>
              <w:spacing w:line="240" w:lineRule="auto"/>
              <w:ind w:firstLine="0" w:firstLineChars="0"/>
              <w:jc w:val="center"/>
              <w:rPr>
                <w:sz w:val="21"/>
                <w:szCs w:val="21"/>
              </w:rPr>
            </w:pPr>
            <w:r>
              <w:rPr>
                <w:sz w:val="21"/>
                <w:szCs w:val="21"/>
              </w:rPr>
              <w:t>处置方式</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57" w:type="dxa"/>
            <w:left w:w="108" w:type="dxa"/>
            <w:bottom w:w="57" w:type="dxa"/>
            <w:right w:w="108" w:type="dxa"/>
          </w:tblCellMar>
        </w:tblPrEx>
        <w:trPr>
          <w:cantSplit/>
          <w:trHeight w:val="340" w:hRule="atLeast"/>
          <w:jc w:val="center"/>
        </w:trPr>
        <w:tc>
          <w:tcPr>
            <w:tcW w:w="1086" w:type="dxa"/>
            <w:tcBorders>
              <w:bottom w:val="single" w:color="auto" w:sz="4" w:space="0"/>
            </w:tcBorders>
            <w:vAlign w:val="center"/>
          </w:tcPr>
          <w:p>
            <w:pPr>
              <w:spacing w:line="240" w:lineRule="auto"/>
              <w:ind w:firstLine="0" w:firstLineChars="0"/>
              <w:jc w:val="center"/>
              <w:rPr>
                <w:sz w:val="21"/>
                <w:szCs w:val="21"/>
              </w:rPr>
            </w:pPr>
            <w:r>
              <w:rPr>
                <w:sz w:val="21"/>
                <w:szCs w:val="21"/>
              </w:rPr>
              <w:t>生活垃圾</w:t>
            </w:r>
          </w:p>
        </w:tc>
        <w:tc>
          <w:tcPr>
            <w:tcW w:w="1984" w:type="dxa"/>
            <w:tcBorders>
              <w:bottom w:val="single" w:color="auto" w:sz="4" w:space="0"/>
              <w:right w:val="single" w:color="auto" w:sz="4" w:space="0"/>
            </w:tcBorders>
            <w:vAlign w:val="center"/>
          </w:tcPr>
          <w:p>
            <w:pPr>
              <w:spacing w:line="240" w:lineRule="auto"/>
              <w:ind w:firstLine="0" w:firstLineChars="0"/>
              <w:jc w:val="center"/>
              <w:rPr>
                <w:sz w:val="21"/>
                <w:szCs w:val="21"/>
              </w:rPr>
            </w:pPr>
            <w:r>
              <w:rPr>
                <w:sz w:val="21"/>
                <w:szCs w:val="21"/>
              </w:rPr>
              <w:t>生活垃圾</w:t>
            </w:r>
          </w:p>
        </w:tc>
        <w:tc>
          <w:tcPr>
            <w:tcW w:w="1413" w:type="dxa"/>
            <w:tcBorders>
              <w:left w:val="single" w:color="auto" w:sz="4" w:space="0"/>
            </w:tcBorders>
            <w:vAlign w:val="center"/>
          </w:tcPr>
          <w:p>
            <w:pPr>
              <w:spacing w:line="240" w:lineRule="auto"/>
              <w:ind w:firstLine="0" w:firstLineChars="0"/>
              <w:jc w:val="center"/>
              <w:rPr>
                <w:sz w:val="21"/>
                <w:szCs w:val="21"/>
              </w:rPr>
            </w:pPr>
            <w:r>
              <w:rPr>
                <w:sz w:val="21"/>
                <w:szCs w:val="21"/>
              </w:rPr>
              <w:t>/</w:t>
            </w:r>
          </w:p>
        </w:tc>
        <w:tc>
          <w:tcPr>
            <w:tcW w:w="1278" w:type="dxa"/>
            <w:vAlign w:val="center"/>
          </w:tcPr>
          <w:p>
            <w:pPr>
              <w:spacing w:line="240" w:lineRule="auto"/>
              <w:ind w:firstLine="0" w:firstLineChars="0"/>
              <w:jc w:val="center"/>
              <w:rPr>
                <w:sz w:val="21"/>
                <w:szCs w:val="21"/>
              </w:rPr>
            </w:pPr>
            <w:r>
              <w:rPr>
                <w:sz w:val="21"/>
                <w:szCs w:val="21"/>
              </w:rPr>
              <w:t>3.65t/a</w:t>
            </w:r>
          </w:p>
        </w:tc>
        <w:tc>
          <w:tcPr>
            <w:tcW w:w="2761" w:type="dxa"/>
            <w:vAlign w:val="center"/>
          </w:tcPr>
          <w:p>
            <w:pPr>
              <w:spacing w:line="240" w:lineRule="auto"/>
              <w:ind w:firstLine="0" w:firstLineChars="0"/>
              <w:jc w:val="center"/>
              <w:rPr>
                <w:sz w:val="21"/>
                <w:szCs w:val="21"/>
              </w:rPr>
            </w:pPr>
            <w:r>
              <w:rPr>
                <w:sz w:val="21"/>
                <w:szCs w:val="21"/>
              </w:rPr>
              <w:t>交环卫部门清运处理</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57" w:type="dxa"/>
            <w:left w:w="108" w:type="dxa"/>
            <w:bottom w:w="57" w:type="dxa"/>
            <w:right w:w="108" w:type="dxa"/>
          </w:tblCellMar>
        </w:tblPrEx>
        <w:trPr>
          <w:cantSplit/>
          <w:trHeight w:val="340" w:hRule="atLeast"/>
          <w:jc w:val="center"/>
        </w:trPr>
        <w:tc>
          <w:tcPr>
            <w:tcW w:w="1086" w:type="dxa"/>
            <w:vMerge w:val="restart"/>
            <w:tcBorders>
              <w:top w:val="single" w:color="auto" w:sz="4" w:space="0"/>
            </w:tcBorders>
            <w:vAlign w:val="center"/>
          </w:tcPr>
          <w:p>
            <w:pPr>
              <w:spacing w:line="240" w:lineRule="auto"/>
              <w:ind w:firstLine="0" w:firstLineChars="0"/>
              <w:jc w:val="center"/>
              <w:rPr>
                <w:sz w:val="21"/>
                <w:szCs w:val="21"/>
              </w:rPr>
            </w:pPr>
            <w:r>
              <w:rPr>
                <w:sz w:val="21"/>
                <w:szCs w:val="21"/>
              </w:rPr>
              <w:t>危险废物废</w:t>
            </w:r>
          </w:p>
        </w:tc>
        <w:tc>
          <w:tcPr>
            <w:tcW w:w="1984" w:type="dxa"/>
            <w:tcBorders>
              <w:top w:val="single" w:color="auto" w:sz="4" w:space="0"/>
              <w:right w:val="single" w:color="auto" w:sz="4" w:space="0"/>
            </w:tcBorders>
            <w:vAlign w:val="center"/>
          </w:tcPr>
          <w:p>
            <w:pPr>
              <w:spacing w:line="240" w:lineRule="auto"/>
              <w:ind w:firstLine="0" w:firstLineChars="0"/>
              <w:jc w:val="center"/>
              <w:rPr>
                <w:sz w:val="21"/>
                <w:szCs w:val="21"/>
              </w:rPr>
            </w:pPr>
            <w:r>
              <w:rPr>
                <w:sz w:val="21"/>
                <w:szCs w:val="21"/>
              </w:rPr>
              <w:t>废含油抹布及手套</w:t>
            </w:r>
          </w:p>
        </w:tc>
        <w:tc>
          <w:tcPr>
            <w:tcW w:w="1413" w:type="dxa"/>
            <w:tcBorders>
              <w:left w:val="single" w:color="auto" w:sz="4" w:space="0"/>
              <w:bottom w:val="single" w:color="auto" w:sz="4" w:space="0"/>
            </w:tcBorders>
            <w:vAlign w:val="center"/>
          </w:tcPr>
          <w:p>
            <w:pPr>
              <w:spacing w:line="240" w:lineRule="auto"/>
              <w:ind w:firstLine="0" w:firstLineChars="0"/>
              <w:jc w:val="center"/>
              <w:rPr>
                <w:sz w:val="21"/>
                <w:szCs w:val="21"/>
              </w:rPr>
            </w:pPr>
            <w:r>
              <w:rPr>
                <w:sz w:val="21"/>
                <w:szCs w:val="21"/>
              </w:rPr>
              <w:t>900-041-49</w:t>
            </w:r>
          </w:p>
        </w:tc>
        <w:tc>
          <w:tcPr>
            <w:tcW w:w="1278" w:type="dxa"/>
            <w:vAlign w:val="center"/>
          </w:tcPr>
          <w:p>
            <w:pPr>
              <w:spacing w:line="240" w:lineRule="auto"/>
              <w:ind w:firstLine="0" w:firstLineChars="0"/>
              <w:jc w:val="center"/>
              <w:rPr>
                <w:sz w:val="21"/>
                <w:szCs w:val="21"/>
              </w:rPr>
            </w:pPr>
            <w:r>
              <w:rPr>
                <w:sz w:val="21"/>
                <w:szCs w:val="21"/>
              </w:rPr>
              <w:t>0.2t/a</w:t>
            </w:r>
          </w:p>
        </w:tc>
        <w:tc>
          <w:tcPr>
            <w:tcW w:w="2761" w:type="dxa"/>
            <w:vMerge w:val="restart"/>
            <w:vAlign w:val="center"/>
          </w:tcPr>
          <w:p>
            <w:pPr>
              <w:spacing w:line="240" w:lineRule="auto"/>
              <w:ind w:firstLine="0" w:firstLineChars="0"/>
              <w:jc w:val="center"/>
              <w:rPr>
                <w:sz w:val="21"/>
                <w:szCs w:val="21"/>
              </w:rPr>
            </w:pPr>
            <w:r>
              <w:rPr>
                <w:sz w:val="21"/>
                <w:szCs w:val="21"/>
              </w:rPr>
              <w:t>交由</w:t>
            </w:r>
            <w:r>
              <w:rPr>
                <w:rFonts w:hint="eastAsia"/>
                <w:sz w:val="21"/>
                <w:szCs w:val="21"/>
              </w:rPr>
              <w:t>茂名景胜环保科技有限公司</w:t>
            </w:r>
            <w:r>
              <w:rPr>
                <w:sz w:val="21"/>
                <w:szCs w:val="21"/>
              </w:rPr>
              <w:t>处理</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57" w:type="dxa"/>
            <w:left w:w="108" w:type="dxa"/>
            <w:bottom w:w="57" w:type="dxa"/>
            <w:right w:w="108" w:type="dxa"/>
          </w:tblCellMar>
        </w:tblPrEx>
        <w:trPr>
          <w:cantSplit/>
          <w:trHeight w:val="340" w:hRule="atLeast"/>
          <w:jc w:val="center"/>
        </w:trPr>
        <w:tc>
          <w:tcPr>
            <w:tcW w:w="1086" w:type="dxa"/>
            <w:vMerge w:val="continue"/>
            <w:vAlign w:val="center"/>
          </w:tcPr>
          <w:p>
            <w:pPr>
              <w:spacing w:line="240" w:lineRule="auto"/>
              <w:ind w:firstLine="0" w:firstLineChars="0"/>
              <w:jc w:val="center"/>
              <w:rPr>
                <w:sz w:val="21"/>
                <w:szCs w:val="21"/>
              </w:rPr>
            </w:pPr>
          </w:p>
        </w:tc>
        <w:tc>
          <w:tcPr>
            <w:tcW w:w="1984" w:type="dxa"/>
            <w:tcBorders>
              <w:top w:val="single" w:color="auto" w:sz="4" w:space="0"/>
              <w:right w:val="single" w:color="auto" w:sz="4" w:space="0"/>
            </w:tcBorders>
            <w:vAlign w:val="center"/>
          </w:tcPr>
          <w:p>
            <w:pPr>
              <w:spacing w:line="240" w:lineRule="auto"/>
              <w:ind w:firstLine="0" w:firstLineChars="0"/>
              <w:jc w:val="center"/>
              <w:rPr>
                <w:sz w:val="21"/>
                <w:szCs w:val="21"/>
              </w:rPr>
            </w:pPr>
            <w:r>
              <w:rPr>
                <w:sz w:val="21"/>
                <w:szCs w:val="21"/>
              </w:rPr>
              <w:t>储罐清理废渣</w:t>
            </w:r>
          </w:p>
        </w:tc>
        <w:tc>
          <w:tcPr>
            <w:tcW w:w="1413" w:type="dxa"/>
            <w:tcBorders>
              <w:left w:val="single" w:color="auto" w:sz="4" w:space="0"/>
              <w:bottom w:val="single" w:color="auto" w:sz="4" w:space="0"/>
            </w:tcBorders>
            <w:vAlign w:val="center"/>
          </w:tcPr>
          <w:p>
            <w:pPr>
              <w:spacing w:line="240" w:lineRule="auto"/>
              <w:ind w:firstLine="0" w:firstLineChars="0"/>
              <w:jc w:val="center"/>
              <w:rPr>
                <w:sz w:val="21"/>
                <w:szCs w:val="21"/>
              </w:rPr>
            </w:pPr>
            <w:r>
              <w:rPr>
                <w:sz w:val="21"/>
                <w:szCs w:val="21"/>
              </w:rPr>
              <w:t>900-221-08</w:t>
            </w:r>
          </w:p>
        </w:tc>
        <w:tc>
          <w:tcPr>
            <w:tcW w:w="1278" w:type="dxa"/>
            <w:tcBorders>
              <w:right w:val="single" w:color="auto" w:sz="4" w:space="0"/>
            </w:tcBorders>
            <w:vAlign w:val="center"/>
          </w:tcPr>
          <w:p>
            <w:pPr>
              <w:spacing w:line="240" w:lineRule="auto"/>
              <w:ind w:firstLine="0" w:firstLineChars="0"/>
              <w:jc w:val="center"/>
              <w:rPr>
                <w:sz w:val="21"/>
                <w:szCs w:val="21"/>
              </w:rPr>
            </w:pPr>
            <w:r>
              <w:rPr>
                <w:sz w:val="21"/>
                <w:szCs w:val="21"/>
              </w:rPr>
              <w:t>0.08t/3a</w:t>
            </w:r>
          </w:p>
        </w:tc>
        <w:tc>
          <w:tcPr>
            <w:tcW w:w="2761" w:type="dxa"/>
            <w:vMerge w:val="continue"/>
            <w:vAlign w:val="center"/>
          </w:tcPr>
          <w:p>
            <w:pPr>
              <w:spacing w:line="240" w:lineRule="auto"/>
              <w:ind w:firstLine="0" w:firstLineChars="0"/>
              <w:jc w:val="center"/>
              <w:rPr>
                <w:sz w:val="21"/>
                <w:szCs w:val="21"/>
              </w:rPr>
            </w:pP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57" w:type="dxa"/>
            <w:left w:w="108" w:type="dxa"/>
            <w:bottom w:w="57" w:type="dxa"/>
            <w:right w:w="108" w:type="dxa"/>
          </w:tblCellMar>
        </w:tblPrEx>
        <w:trPr>
          <w:cantSplit/>
          <w:trHeight w:val="340" w:hRule="atLeast"/>
          <w:jc w:val="center"/>
        </w:trPr>
        <w:tc>
          <w:tcPr>
            <w:tcW w:w="1086" w:type="dxa"/>
            <w:vMerge w:val="continue"/>
            <w:vAlign w:val="center"/>
          </w:tcPr>
          <w:p>
            <w:pPr>
              <w:spacing w:line="240" w:lineRule="auto"/>
              <w:ind w:firstLine="0" w:firstLineChars="0"/>
              <w:jc w:val="center"/>
              <w:rPr>
                <w:sz w:val="21"/>
                <w:szCs w:val="21"/>
              </w:rPr>
            </w:pPr>
          </w:p>
        </w:tc>
        <w:tc>
          <w:tcPr>
            <w:tcW w:w="1984" w:type="dxa"/>
            <w:tcBorders>
              <w:top w:val="single" w:color="auto" w:sz="4" w:space="0"/>
              <w:bottom w:val="single" w:color="auto" w:sz="4" w:space="0"/>
              <w:right w:val="single" w:color="auto" w:sz="4" w:space="0"/>
            </w:tcBorders>
            <w:vAlign w:val="center"/>
          </w:tcPr>
          <w:p>
            <w:pPr>
              <w:spacing w:line="240" w:lineRule="auto"/>
              <w:ind w:firstLine="0" w:firstLineChars="0"/>
              <w:jc w:val="center"/>
              <w:rPr>
                <w:sz w:val="21"/>
                <w:szCs w:val="21"/>
              </w:rPr>
            </w:pPr>
            <w:r>
              <w:rPr>
                <w:sz w:val="21"/>
                <w:szCs w:val="21"/>
              </w:rPr>
              <w:t>隔油池</w:t>
            </w:r>
            <w:r>
              <w:rPr>
                <w:rFonts w:hint="eastAsia"/>
                <w:sz w:val="21"/>
                <w:szCs w:val="21"/>
              </w:rPr>
              <w:t>浮油</w:t>
            </w:r>
          </w:p>
        </w:tc>
        <w:tc>
          <w:tcPr>
            <w:tcW w:w="1413" w:type="dxa"/>
            <w:tcBorders>
              <w:left w:val="single" w:color="auto" w:sz="4" w:space="0"/>
            </w:tcBorders>
            <w:vAlign w:val="center"/>
          </w:tcPr>
          <w:p>
            <w:pPr>
              <w:spacing w:line="240" w:lineRule="auto"/>
              <w:ind w:firstLine="0" w:firstLineChars="0"/>
              <w:jc w:val="center"/>
              <w:rPr>
                <w:sz w:val="21"/>
                <w:szCs w:val="21"/>
              </w:rPr>
            </w:pPr>
            <w:r>
              <w:rPr>
                <w:sz w:val="21"/>
                <w:szCs w:val="21"/>
              </w:rPr>
              <w:t>900-210-08</w:t>
            </w:r>
          </w:p>
        </w:tc>
        <w:tc>
          <w:tcPr>
            <w:tcW w:w="1278" w:type="dxa"/>
            <w:tcBorders>
              <w:right w:val="single" w:color="auto" w:sz="4" w:space="0"/>
            </w:tcBorders>
            <w:vAlign w:val="center"/>
          </w:tcPr>
          <w:p>
            <w:pPr>
              <w:spacing w:line="240" w:lineRule="auto"/>
              <w:ind w:firstLine="0" w:firstLineChars="0"/>
              <w:jc w:val="center"/>
              <w:rPr>
                <w:sz w:val="21"/>
                <w:szCs w:val="21"/>
              </w:rPr>
            </w:pPr>
            <w:r>
              <w:rPr>
                <w:sz w:val="21"/>
                <w:szCs w:val="21"/>
              </w:rPr>
              <w:t>0.004311t/a</w:t>
            </w:r>
          </w:p>
        </w:tc>
        <w:tc>
          <w:tcPr>
            <w:tcW w:w="2761" w:type="dxa"/>
            <w:vMerge w:val="continue"/>
            <w:vAlign w:val="center"/>
          </w:tcPr>
          <w:p>
            <w:pPr>
              <w:spacing w:line="240" w:lineRule="auto"/>
              <w:ind w:firstLine="0" w:firstLineChars="0"/>
              <w:jc w:val="center"/>
              <w:rPr>
                <w:sz w:val="21"/>
                <w:szCs w:val="21"/>
              </w:rPr>
            </w:pPr>
          </w:p>
        </w:tc>
      </w:tr>
    </w:tbl>
    <w:p>
      <w:pPr>
        <w:autoSpaceDE w:val="0"/>
        <w:autoSpaceDN w:val="0"/>
        <w:adjustRightInd w:val="0"/>
        <w:ind w:firstLine="480"/>
        <w:textAlignment w:val="baseline"/>
        <w:rPr>
          <w:bCs/>
        </w:rPr>
      </w:pPr>
      <w:r>
        <w:rPr>
          <w:rFonts w:hint="eastAsia"/>
          <w:bCs/>
        </w:rPr>
        <w:t>本项目固体废物治理措施详见图4-3。</w:t>
      </w:r>
    </w:p>
    <w:tbl>
      <w:tblPr>
        <w:tblStyle w:val="2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718" w:hRule="atLeast"/>
        </w:trPr>
        <w:tc>
          <w:tcPr>
            <w:tcW w:w="8522" w:type="dxa"/>
          </w:tcPr>
          <w:p>
            <w:pPr>
              <w:pStyle w:val="35"/>
              <w:spacing w:line="360" w:lineRule="auto"/>
            </w:pPr>
            <w:r>
              <w:drawing>
                <wp:inline distT="0" distB="0" distL="0" distR="0">
                  <wp:extent cx="4856480" cy="3642360"/>
                  <wp:effectExtent l="0" t="0" r="1270" b="0"/>
                  <wp:docPr id="79450170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501706" name="图片 4"/>
                          <pic:cNvPicPr>
                            <a:picLocks noChangeAspect="1" noChangeArrowheads="1"/>
                          </pic:cNvPicPr>
                        </pic:nvPicPr>
                        <pic:blipFill>
                          <a:blip r:embed="rId25"/>
                          <a:srcRect/>
                          <a:stretch>
                            <a:fillRect/>
                          </a:stretch>
                        </pic:blipFill>
                        <pic:spPr>
                          <a:xfrm rot="10800000">
                            <a:off x="0" y="0"/>
                            <a:ext cx="4859791" cy="3645136"/>
                          </a:xfrm>
                          <a:prstGeom prst="rect">
                            <a:avLst/>
                          </a:prstGeom>
                          <a:noFill/>
                          <a:ln>
                            <a:noFill/>
                          </a:ln>
                        </pic:spPr>
                      </pic:pic>
                    </a:graphicData>
                  </a:graphic>
                </wp:inline>
              </w:drawing>
            </w:r>
          </w:p>
          <w:p>
            <w:pPr>
              <w:pStyle w:val="35"/>
              <w:spacing w:line="360" w:lineRule="auto"/>
            </w:pPr>
            <w:r>
              <w:rPr>
                <w:rFonts w:hint="eastAsia"/>
              </w:rPr>
              <w:t>危废间</w:t>
            </w:r>
          </w:p>
        </w:tc>
      </w:tr>
    </w:tbl>
    <w:p>
      <w:pPr>
        <w:pStyle w:val="35"/>
        <w:spacing w:line="360" w:lineRule="auto"/>
      </w:pPr>
      <w:r>
        <w:rPr>
          <w:rFonts w:hint="eastAsia"/>
        </w:rPr>
        <w:t>图4</w:t>
      </w:r>
      <w:r>
        <w:t>-</w:t>
      </w:r>
      <w:r>
        <w:rPr>
          <w:rFonts w:hint="eastAsia"/>
        </w:rPr>
        <w:t>3</w:t>
      </w:r>
      <w:r>
        <w:t xml:space="preserve">  </w:t>
      </w:r>
      <w:r>
        <w:rPr>
          <w:rFonts w:hint="eastAsia"/>
        </w:rPr>
        <w:t>危废间现场照片</w:t>
      </w:r>
    </w:p>
    <w:p>
      <w:pPr>
        <w:pStyle w:val="3"/>
      </w:pPr>
      <w:bookmarkStart w:id="40" w:name="_Toc30146"/>
      <w:r>
        <w:rPr>
          <w:rFonts w:hint="eastAsia"/>
        </w:rPr>
        <w:t>其他环境保护设施</w:t>
      </w:r>
      <w:bookmarkEnd w:id="40"/>
    </w:p>
    <w:p>
      <w:pPr>
        <w:pStyle w:val="4"/>
      </w:pPr>
      <w:bookmarkStart w:id="41" w:name="_Toc156491647"/>
      <w:bookmarkStart w:id="42" w:name="_Toc2918"/>
      <w:bookmarkStart w:id="43" w:name="_Toc164292274"/>
      <w:r>
        <w:rPr>
          <w:rFonts w:hint="eastAsia"/>
        </w:rPr>
        <w:t>环境管理</w:t>
      </w:r>
      <w:bookmarkEnd w:id="41"/>
      <w:bookmarkEnd w:id="42"/>
      <w:bookmarkEnd w:id="43"/>
    </w:p>
    <w:p>
      <w:pPr>
        <w:ind w:firstLine="480"/>
      </w:pPr>
      <w:r>
        <w:rPr>
          <w:rFonts w:hint="eastAsia"/>
        </w:rPr>
        <w:t>项目制订并落实有效的环境风险防范措施和环境应急预案，建立健全环境事故应急体系。对油罐、管道采取防渗、防腐措施，地面全部采取硬化防渗措施，储油罐安装液位仪，油罐的进出口管道采用金属软管连接;配备足够的干粉灭火器、泡沫灭火器等消防灭火器材；定期检查油气回收系统的运行情况；制定环境风险应急预案，加强职工的风险防范培训，提高风险防范意识。</w:t>
      </w:r>
    </w:p>
    <w:p>
      <w:pPr>
        <w:ind w:firstLine="480"/>
      </w:pPr>
      <w:r>
        <w:rPr>
          <w:rFonts w:hint="eastAsia"/>
        </w:rPr>
        <w:t>根据本项目特点以及地方环境保护要求，由项目的环保负责人负责巡回监督检查，定期检查环保设施，确保设施正常运行；加强固体废物的管理，确保项目内的固体废物按照本环评提出的要求或国家有关规定进行处理，使固体废物均得到妥善处置。</w:t>
      </w:r>
    </w:p>
    <w:p>
      <w:pPr>
        <w:pStyle w:val="4"/>
      </w:pPr>
      <w:bookmarkStart w:id="44" w:name="_Toc156491648"/>
      <w:bookmarkStart w:id="45" w:name="_Toc164292275"/>
      <w:bookmarkStart w:id="46" w:name="_Toc27555"/>
      <w:r>
        <w:rPr>
          <w:rFonts w:hint="eastAsia"/>
        </w:rPr>
        <w:t>规范化排污口及监测计划</w:t>
      </w:r>
      <w:bookmarkEnd w:id="44"/>
      <w:bookmarkEnd w:id="45"/>
      <w:bookmarkEnd w:id="46"/>
    </w:p>
    <w:p>
      <w:pPr>
        <w:ind w:firstLine="480"/>
      </w:pPr>
      <w:r>
        <w:rPr>
          <w:rFonts w:hint="eastAsia"/>
        </w:rPr>
        <w:t>本项目规范化设置了废水排放口及其标识，为及时了解和掌握营运期主要污染源污染物的排放状况，高州市祥富投资有限公司定期委托第三方检测公司对本项目排放的污染物进行监测。</w:t>
      </w:r>
    </w:p>
    <w:p>
      <w:pPr>
        <w:pStyle w:val="3"/>
      </w:pPr>
      <w:bookmarkStart w:id="47" w:name="_Toc15968"/>
      <w:r>
        <w:rPr>
          <w:rFonts w:hint="eastAsia"/>
        </w:rPr>
        <w:t>环保设施投资及“三同时”落实情况</w:t>
      </w:r>
      <w:bookmarkEnd w:id="47"/>
    </w:p>
    <w:p>
      <w:pPr>
        <w:ind w:firstLine="480"/>
      </w:pPr>
      <w:bookmarkStart w:id="48" w:name="_Hlk142548500"/>
      <w:r>
        <w:rPr>
          <w:rFonts w:hint="eastAsia"/>
        </w:rPr>
        <w:t>本项目实际</w:t>
      </w:r>
      <w:bookmarkEnd w:id="48"/>
      <w:r>
        <w:rPr>
          <w:rFonts w:hint="eastAsia"/>
        </w:rPr>
        <w:t>总投资700万元，其中环保投资为50万，占总投资额的7.14%。各项环保设施实际投资情况及环保落实情况见下表。</w:t>
      </w:r>
    </w:p>
    <w:p>
      <w:pPr>
        <w:pStyle w:val="35"/>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4.3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项目环保设施投资“三同时”情况表</w:t>
      </w:r>
    </w:p>
    <w:tbl>
      <w:tblPr>
        <w:tblStyle w:val="2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6"/>
        <w:gridCol w:w="1229"/>
        <w:gridCol w:w="1553"/>
        <w:gridCol w:w="1171"/>
        <w:gridCol w:w="1742"/>
        <w:gridCol w:w="1139"/>
        <w:gridCol w:w="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35" w:type="dxa"/>
            <w:gridSpan w:val="2"/>
            <w:vMerge w:val="restart"/>
            <w:vAlign w:val="center"/>
          </w:tcPr>
          <w:p>
            <w:pPr>
              <w:pStyle w:val="42"/>
              <w:jc w:val="center"/>
              <w:rPr>
                <w:rFonts w:ascii="Times New Roman" w:cs="Times New Roman"/>
                <w:b/>
                <w:bCs/>
                <w:color w:val="auto"/>
                <w:sz w:val="21"/>
                <w:szCs w:val="21"/>
              </w:rPr>
            </w:pPr>
            <w:r>
              <w:rPr>
                <w:rFonts w:ascii="Times New Roman" w:cs="Times New Roman"/>
                <w:b/>
                <w:bCs/>
                <w:color w:val="auto"/>
                <w:sz w:val="21"/>
                <w:szCs w:val="21"/>
              </w:rPr>
              <w:t>项目</w:t>
            </w:r>
          </w:p>
        </w:tc>
        <w:tc>
          <w:tcPr>
            <w:tcW w:w="2724" w:type="dxa"/>
            <w:gridSpan w:val="2"/>
            <w:vAlign w:val="center"/>
          </w:tcPr>
          <w:p>
            <w:pPr>
              <w:pStyle w:val="42"/>
              <w:jc w:val="center"/>
              <w:rPr>
                <w:rFonts w:ascii="Times New Roman" w:cs="Times New Roman"/>
                <w:b/>
                <w:bCs/>
                <w:color w:val="auto"/>
                <w:sz w:val="21"/>
                <w:szCs w:val="21"/>
              </w:rPr>
            </w:pPr>
            <w:r>
              <w:rPr>
                <w:rFonts w:hint="eastAsia" w:ascii="Times New Roman" w:cs="Times New Roman"/>
                <w:b/>
                <w:bCs/>
                <w:color w:val="auto"/>
                <w:sz w:val="21"/>
                <w:szCs w:val="21"/>
              </w:rPr>
              <w:t>环评</w:t>
            </w:r>
          </w:p>
        </w:tc>
        <w:tc>
          <w:tcPr>
            <w:tcW w:w="2881" w:type="dxa"/>
            <w:gridSpan w:val="2"/>
            <w:vAlign w:val="center"/>
          </w:tcPr>
          <w:p>
            <w:pPr>
              <w:pStyle w:val="42"/>
              <w:jc w:val="center"/>
              <w:rPr>
                <w:rFonts w:ascii="Times New Roman" w:cs="Times New Roman"/>
                <w:b/>
                <w:bCs/>
                <w:color w:val="auto"/>
                <w:sz w:val="21"/>
                <w:szCs w:val="21"/>
              </w:rPr>
            </w:pPr>
            <w:r>
              <w:rPr>
                <w:rFonts w:hint="eastAsia" w:ascii="Times New Roman" w:cs="Times New Roman"/>
                <w:b/>
                <w:bCs/>
                <w:color w:val="auto"/>
                <w:sz w:val="21"/>
                <w:szCs w:val="21"/>
              </w:rPr>
              <w:t>实际</w:t>
            </w:r>
          </w:p>
        </w:tc>
        <w:tc>
          <w:tcPr>
            <w:tcW w:w="982" w:type="dxa"/>
            <w:vMerge w:val="restart"/>
            <w:vAlign w:val="center"/>
          </w:tcPr>
          <w:p>
            <w:pPr>
              <w:pStyle w:val="42"/>
              <w:jc w:val="center"/>
              <w:rPr>
                <w:rFonts w:ascii="Times New Roman" w:cs="Times New Roman"/>
                <w:b/>
                <w:bCs/>
                <w:color w:val="auto"/>
                <w:sz w:val="21"/>
                <w:szCs w:val="21"/>
              </w:rPr>
            </w:pPr>
            <w:r>
              <w:rPr>
                <w:rFonts w:hint="eastAsia" w:ascii="Times New Roman" w:cs="Times New Roman"/>
                <w:b/>
                <w:bCs/>
                <w:color w:val="auto"/>
                <w:sz w:val="21"/>
                <w:szCs w:val="21"/>
              </w:rPr>
              <w:t>变化</w:t>
            </w:r>
          </w:p>
          <w:p>
            <w:pPr>
              <w:pStyle w:val="42"/>
              <w:jc w:val="center"/>
              <w:rPr>
                <w:rFonts w:ascii="Times New Roman" w:cs="Times New Roman"/>
                <w:b/>
                <w:bCs/>
                <w:color w:val="auto"/>
                <w:sz w:val="21"/>
                <w:szCs w:val="21"/>
              </w:rPr>
            </w:pPr>
            <w:r>
              <w:rPr>
                <w:rFonts w:hint="eastAsia" w:ascii="Times New Roman" w:cs="Times New Roman"/>
                <w:b/>
                <w:bCs/>
                <w:color w:val="auto"/>
                <w:sz w:val="21"/>
                <w:szCs w:val="21"/>
              </w:rPr>
              <w:t>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35" w:type="dxa"/>
            <w:gridSpan w:val="2"/>
            <w:vMerge w:val="continue"/>
            <w:vAlign w:val="center"/>
          </w:tcPr>
          <w:p>
            <w:pPr>
              <w:pStyle w:val="42"/>
              <w:jc w:val="center"/>
              <w:rPr>
                <w:rFonts w:ascii="Times New Roman" w:cs="Times New Roman"/>
                <w:b/>
                <w:bCs/>
                <w:color w:val="auto"/>
                <w:sz w:val="21"/>
                <w:szCs w:val="21"/>
              </w:rPr>
            </w:pPr>
          </w:p>
        </w:tc>
        <w:tc>
          <w:tcPr>
            <w:tcW w:w="1553" w:type="dxa"/>
            <w:vAlign w:val="center"/>
          </w:tcPr>
          <w:p>
            <w:pPr>
              <w:pStyle w:val="42"/>
              <w:jc w:val="center"/>
              <w:rPr>
                <w:rFonts w:ascii="Times New Roman" w:cs="Times New Roman"/>
                <w:b/>
                <w:bCs/>
                <w:color w:val="auto"/>
                <w:sz w:val="21"/>
                <w:szCs w:val="21"/>
              </w:rPr>
            </w:pPr>
            <w:r>
              <w:rPr>
                <w:rFonts w:ascii="Times New Roman" w:cs="Times New Roman"/>
                <w:b/>
                <w:bCs/>
                <w:color w:val="auto"/>
                <w:sz w:val="21"/>
                <w:szCs w:val="21"/>
              </w:rPr>
              <w:t>保护措施</w:t>
            </w:r>
          </w:p>
        </w:tc>
        <w:tc>
          <w:tcPr>
            <w:tcW w:w="1171" w:type="dxa"/>
            <w:vAlign w:val="center"/>
          </w:tcPr>
          <w:p>
            <w:pPr>
              <w:pStyle w:val="42"/>
              <w:jc w:val="center"/>
              <w:rPr>
                <w:rFonts w:ascii="Times New Roman" w:cs="Times New Roman"/>
                <w:b/>
                <w:bCs/>
                <w:color w:val="auto"/>
                <w:sz w:val="21"/>
                <w:szCs w:val="21"/>
              </w:rPr>
            </w:pPr>
            <w:r>
              <w:rPr>
                <w:rFonts w:ascii="Times New Roman" w:cs="Times New Roman"/>
                <w:b/>
                <w:bCs/>
                <w:color w:val="auto"/>
                <w:sz w:val="21"/>
                <w:szCs w:val="21"/>
              </w:rPr>
              <w:t>环评投资（万元）</w:t>
            </w:r>
          </w:p>
        </w:tc>
        <w:tc>
          <w:tcPr>
            <w:tcW w:w="1742" w:type="dxa"/>
            <w:vAlign w:val="center"/>
          </w:tcPr>
          <w:p>
            <w:pPr>
              <w:pStyle w:val="42"/>
              <w:jc w:val="center"/>
              <w:rPr>
                <w:rFonts w:ascii="Times New Roman" w:cs="Times New Roman"/>
                <w:b/>
                <w:bCs/>
                <w:color w:val="auto"/>
                <w:sz w:val="21"/>
                <w:szCs w:val="21"/>
              </w:rPr>
            </w:pPr>
            <w:r>
              <w:rPr>
                <w:rFonts w:hint="eastAsia" w:ascii="Times New Roman" w:cs="Times New Roman"/>
                <w:b/>
                <w:bCs/>
                <w:color w:val="auto"/>
                <w:sz w:val="21"/>
                <w:szCs w:val="21"/>
              </w:rPr>
              <w:t>保护措施</w:t>
            </w:r>
          </w:p>
        </w:tc>
        <w:tc>
          <w:tcPr>
            <w:tcW w:w="1139" w:type="dxa"/>
            <w:vAlign w:val="center"/>
          </w:tcPr>
          <w:p>
            <w:pPr>
              <w:pStyle w:val="42"/>
              <w:jc w:val="center"/>
              <w:rPr>
                <w:rFonts w:ascii="Times New Roman" w:cs="Times New Roman"/>
                <w:b/>
                <w:bCs/>
                <w:color w:val="auto"/>
                <w:sz w:val="21"/>
                <w:szCs w:val="21"/>
              </w:rPr>
            </w:pPr>
            <w:r>
              <w:rPr>
                <w:rFonts w:ascii="Times New Roman" w:cs="Times New Roman"/>
                <w:b/>
                <w:bCs/>
                <w:color w:val="auto"/>
                <w:sz w:val="21"/>
                <w:szCs w:val="21"/>
              </w:rPr>
              <w:t>实际投资（万元）</w:t>
            </w:r>
          </w:p>
        </w:tc>
        <w:tc>
          <w:tcPr>
            <w:tcW w:w="982" w:type="dxa"/>
            <w:vMerge w:val="continue"/>
            <w:vAlign w:val="center"/>
          </w:tcPr>
          <w:p>
            <w:pPr>
              <w:pStyle w:val="42"/>
              <w:jc w:val="center"/>
              <w:rPr>
                <w:rFonts w:ascii="Times New Roman" w:cs="Times New Roman"/>
                <w:b/>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4" w:hRule="atLeast"/>
        </w:trPr>
        <w:tc>
          <w:tcPr>
            <w:tcW w:w="706" w:type="dxa"/>
            <w:vMerge w:val="restart"/>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废水</w:t>
            </w:r>
          </w:p>
        </w:tc>
        <w:tc>
          <w:tcPr>
            <w:tcW w:w="1229"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生活污水</w:t>
            </w:r>
          </w:p>
        </w:tc>
        <w:tc>
          <w:tcPr>
            <w:tcW w:w="1553"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三级化粪池（3m</w:t>
            </w:r>
            <w:r>
              <w:rPr>
                <w:rFonts w:hint="eastAsia" w:ascii="Times New Roman" w:cs="Times New Roman"/>
                <w:color w:val="auto"/>
                <w:sz w:val="21"/>
                <w:szCs w:val="21"/>
                <w:vertAlign w:val="superscript"/>
              </w:rPr>
              <w:t>3</w:t>
            </w:r>
            <w:r>
              <w:rPr>
                <w:rFonts w:hint="eastAsia" w:ascii="Times New Roman" w:cs="Times New Roman"/>
                <w:color w:val="auto"/>
                <w:sz w:val="21"/>
                <w:szCs w:val="21"/>
              </w:rPr>
              <w:t>）</w:t>
            </w:r>
          </w:p>
        </w:tc>
        <w:tc>
          <w:tcPr>
            <w:tcW w:w="1171"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6</w:t>
            </w:r>
          </w:p>
        </w:tc>
        <w:tc>
          <w:tcPr>
            <w:tcW w:w="1742"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三级化粪池</w:t>
            </w:r>
          </w:p>
          <w:p>
            <w:pPr>
              <w:pStyle w:val="42"/>
              <w:jc w:val="center"/>
              <w:rPr>
                <w:rFonts w:ascii="Times New Roman" w:cs="Times New Roman"/>
                <w:color w:val="auto"/>
                <w:sz w:val="21"/>
                <w:szCs w:val="21"/>
              </w:rPr>
            </w:pPr>
            <w:r>
              <w:rPr>
                <w:rFonts w:hint="eastAsia" w:ascii="Times New Roman" w:cs="Times New Roman"/>
                <w:color w:val="auto"/>
                <w:sz w:val="21"/>
                <w:szCs w:val="21"/>
              </w:rPr>
              <w:t>（3m</w:t>
            </w:r>
            <w:r>
              <w:rPr>
                <w:rFonts w:hint="eastAsia" w:ascii="Times New Roman" w:cs="Times New Roman"/>
                <w:color w:val="auto"/>
                <w:sz w:val="21"/>
                <w:szCs w:val="21"/>
                <w:vertAlign w:val="superscript"/>
              </w:rPr>
              <w:t>3</w:t>
            </w:r>
            <w:r>
              <w:rPr>
                <w:rFonts w:hint="eastAsia" w:ascii="Times New Roman" w:cs="Times New Roman"/>
                <w:color w:val="auto"/>
                <w:sz w:val="21"/>
                <w:szCs w:val="21"/>
              </w:rPr>
              <w:t>）</w:t>
            </w:r>
          </w:p>
        </w:tc>
        <w:tc>
          <w:tcPr>
            <w:tcW w:w="1139"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6</w:t>
            </w:r>
          </w:p>
        </w:tc>
        <w:tc>
          <w:tcPr>
            <w:tcW w:w="982"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6" w:type="dxa"/>
            <w:vMerge w:val="continue"/>
            <w:vAlign w:val="center"/>
          </w:tcPr>
          <w:p>
            <w:pPr>
              <w:pStyle w:val="42"/>
              <w:jc w:val="center"/>
              <w:rPr>
                <w:rFonts w:ascii="Times New Roman" w:cs="Times New Roman"/>
                <w:color w:val="auto"/>
                <w:sz w:val="21"/>
                <w:szCs w:val="21"/>
              </w:rPr>
            </w:pPr>
          </w:p>
        </w:tc>
        <w:tc>
          <w:tcPr>
            <w:tcW w:w="1229"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场地清洗废水、洗车废水、初期雨水</w:t>
            </w:r>
          </w:p>
        </w:tc>
        <w:tc>
          <w:tcPr>
            <w:tcW w:w="1553"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导流沟、隔油池（3m</w:t>
            </w:r>
            <w:r>
              <w:rPr>
                <w:rFonts w:hint="eastAsia" w:ascii="Times New Roman" w:cs="Times New Roman"/>
                <w:color w:val="auto"/>
                <w:sz w:val="21"/>
                <w:szCs w:val="21"/>
                <w:vertAlign w:val="superscript"/>
              </w:rPr>
              <w:t>3</w:t>
            </w:r>
            <w:r>
              <w:rPr>
                <w:rFonts w:hint="eastAsia" w:ascii="Times New Roman" w:cs="Times New Roman"/>
                <w:color w:val="auto"/>
                <w:sz w:val="21"/>
                <w:szCs w:val="21"/>
              </w:rPr>
              <w:t>）</w:t>
            </w:r>
          </w:p>
        </w:tc>
        <w:tc>
          <w:tcPr>
            <w:tcW w:w="1171"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15</w:t>
            </w:r>
          </w:p>
        </w:tc>
        <w:tc>
          <w:tcPr>
            <w:tcW w:w="1742"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隔油池（3m</w:t>
            </w:r>
            <w:r>
              <w:rPr>
                <w:rFonts w:hint="eastAsia" w:ascii="Times New Roman" w:cs="Times New Roman"/>
                <w:color w:val="auto"/>
                <w:sz w:val="21"/>
                <w:szCs w:val="21"/>
                <w:vertAlign w:val="superscript"/>
              </w:rPr>
              <w:t>3</w:t>
            </w:r>
            <w:r>
              <w:rPr>
                <w:rFonts w:hint="eastAsia" w:ascii="Times New Roman" w:cs="Times New Roman"/>
                <w:color w:val="auto"/>
                <w:sz w:val="21"/>
                <w:szCs w:val="21"/>
              </w:rPr>
              <w:t>）</w:t>
            </w:r>
          </w:p>
        </w:tc>
        <w:tc>
          <w:tcPr>
            <w:tcW w:w="1139"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15</w:t>
            </w:r>
          </w:p>
        </w:tc>
        <w:tc>
          <w:tcPr>
            <w:tcW w:w="982"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6"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废气</w:t>
            </w:r>
          </w:p>
        </w:tc>
        <w:tc>
          <w:tcPr>
            <w:tcW w:w="1229"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油气</w:t>
            </w:r>
          </w:p>
        </w:tc>
        <w:tc>
          <w:tcPr>
            <w:tcW w:w="1553"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油气回收装置</w:t>
            </w:r>
          </w:p>
        </w:tc>
        <w:tc>
          <w:tcPr>
            <w:tcW w:w="1171"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20</w:t>
            </w:r>
          </w:p>
        </w:tc>
        <w:tc>
          <w:tcPr>
            <w:tcW w:w="1742"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油气回收装置</w:t>
            </w:r>
          </w:p>
        </w:tc>
        <w:tc>
          <w:tcPr>
            <w:tcW w:w="1139"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20</w:t>
            </w:r>
          </w:p>
        </w:tc>
        <w:tc>
          <w:tcPr>
            <w:tcW w:w="982"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6"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噪声</w:t>
            </w:r>
          </w:p>
        </w:tc>
        <w:tc>
          <w:tcPr>
            <w:tcW w:w="1229"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加油机、潜油泵</w:t>
            </w:r>
          </w:p>
        </w:tc>
        <w:tc>
          <w:tcPr>
            <w:tcW w:w="1553"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减振、隔声</w:t>
            </w:r>
          </w:p>
          <w:p>
            <w:pPr>
              <w:pStyle w:val="42"/>
              <w:jc w:val="center"/>
              <w:rPr>
                <w:rFonts w:ascii="Times New Roman" w:cs="Times New Roman"/>
                <w:color w:val="auto"/>
                <w:sz w:val="21"/>
                <w:szCs w:val="21"/>
              </w:rPr>
            </w:pPr>
            <w:r>
              <w:rPr>
                <w:rFonts w:hint="eastAsia" w:ascii="Times New Roman" w:cs="Times New Roman"/>
                <w:color w:val="auto"/>
                <w:sz w:val="21"/>
                <w:szCs w:val="21"/>
              </w:rPr>
              <w:t>等措施</w:t>
            </w:r>
          </w:p>
        </w:tc>
        <w:tc>
          <w:tcPr>
            <w:tcW w:w="1171"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4</w:t>
            </w:r>
          </w:p>
        </w:tc>
        <w:tc>
          <w:tcPr>
            <w:tcW w:w="1742"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减振、隔声</w:t>
            </w:r>
          </w:p>
          <w:p>
            <w:pPr>
              <w:pStyle w:val="42"/>
              <w:jc w:val="center"/>
              <w:rPr>
                <w:rFonts w:ascii="Times New Roman" w:cs="Times New Roman"/>
                <w:color w:val="auto"/>
                <w:sz w:val="21"/>
                <w:szCs w:val="21"/>
              </w:rPr>
            </w:pPr>
            <w:r>
              <w:rPr>
                <w:rFonts w:hint="eastAsia" w:ascii="Times New Roman" w:cs="Times New Roman"/>
                <w:color w:val="auto"/>
                <w:sz w:val="21"/>
                <w:szCs w:val="21"/>
              </w:rPr>
              <w:t>等措施</w:t>
            </w:r>
          </w:p>
        </w:tc>
        <w:tc>
          <w:tcPr>
            <w:tcW w:w="1139"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4</w:t>
            </w:r>
          </w:p>
        </w:tc>
        <w:tc>
          <w:tcPr>
            <w:tcW w:w="982"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6" w:type="dxa"/>
            <w:vMerge w:val="restart"/>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固废</w:t>
            </w:r>
          </w:p>
        </w:tc>
        <w:tc>
          <w:tcPr>
            <w:tcW w:w="1229"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生活垃圾</w:t>
            </w:r>
          </w:p>
        </w:tc>
        <w:tc>
          <w:tcPr>
            <w:tcW w:w="1553"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垃圾收集桶</w:t>
            </w:r>
          </w:p>
        </w:tc>
        <w:tc>
          <w:tcPr>
            <w:tcW w:w="1171"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1</w:t>
            </w:r>
          </w:p>
        </w:tc>
        <w:tc>
          <w:tcPr>
            <w:tcW w:w="1742"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垃圾收集桶</w:t>
            </w:r>
          </w:p>
        </w:tc>
        <w:tc>
          <w:tcPr>
            <w:tcW w:w="1139"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1</w:t>
            </w:r>
          </w:p>
        </w:tc>
        <w:tc>
          <w:tcPr>
            <w:tcW w:w="982"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6" w:type="dxa"/>
            <w:vMerge w:val="continue"/>
            <w:vAlign w:val="center"/>
          </w:tcPr>
          <w:p>
            <w:pPr>
              <w:pStyle w:val="42"/>
              <w:jc w:val="center"/>
              <w:rPr>
                <w:rFonts w:ascii="Times New Roman" w:cs="Times New Roman"/>
                <w:color w:val="auto"/>
                <w:sz w:val="21"/>
                <w:szCs w:val="21"/>
              </w:rPr>
            </w:pPr>
          </w:p>
        </w:tc>
        <w:tc>
          <w:tcPr>
            <w:tcW w:w="1229"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危险废物</w:t>
            </w:r>
          </w:p>
        </w:tc>
        <w:tc>
          <w:tcPr>
            <w:tcW w:w="1553"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危废暂存柜</w:t>
            </w:r>
          </w:p>
        </w:tc>
        <w:tc>
          <w:tcPr>
            <w:tcW w:w="1171"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4</w:t>
            </w:r>
          </w:p>
        </w:tc>
        <w:tc>
          <w:tcPr>
            <w:tcW w:w="1742"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危废暂存柜</w:t>
            </w:r>
          </w:p>
        </w:tc>
        <w:tc>
          <w:tcPr>
            <w:tcW w:w="1139"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4</w:t>
            </w:r>
          </w:p>
        </w:tc>
        <w:tc>
          <w:tcPr>
            <w:tcW w:w="982"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无变化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488" w:type="dxa"/>
            <w:gridSpan w:val="3"/>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合计</w:t>
            </w:r>
          </w:p>
        </w:tc>
        <w:tc>
          <w:tcPr>
            <w:tcW w:w="1171"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50</w:t>
            </w:r>
          </w:p>
        </w:tc>
        <w:tc>
          <w:tcPr>
            <w:tcW w:w="1742" w:type="dxa"/>
            <w:vAlign w:val="center"/>
          </w:tcPr>
          <w:p>
            <w:pPr>
              <w:pStyle w:val="42"/>
              <w:jc w:val="center"/>
              <w:rPr>
                <w:rFonts w:ascii="Times New Roman" w:cs="Times New Roman"/>
                <w:color w:val="auto"/>
                <w:sz w:val="21"/>
                <w:szCs w:val="21"/>
              </w:rPr>
            </w:pPr>
          </w:p>
        </w:tc>
        <w:tc>
          <w:tcPr>
            <w:tcW w:w="1139"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50</w:t>
            </w:r>
          </w:p>
        </w:tc>
        <w:tc>
          <w:tcPr>
            <w:tcW w:w="982" w:type="dxa"/>
            <w:vAlign w:val="center"/>
          </w:tcPr>
          <w:p>
            <w:pPr>
              <w:pStyle w:val="42"/>
              <w:jc w:val="center"/>
              <w:rPr>
                <w:rFonts w:ascii="Times New Roman" w:cs="Times New Roman"/>
                <w:color w:val="auto"/>
                <w:sz w:val="21"/>
                <w:szCs w:val="21"/>
              </w:rPr>
            </w:pPr>
            <w:r>
              <w:rPr>
                <w:rFonts w:hint="eastAsia" w:ascii="Times New Roman" w:cs="Times New Roman"/>
                <w:color w:val="auto"/>
                <w:sz w:val="21"/>
                <w:szCs w:val="21"/>
              </w:rPr>
              <w:t>无变化</w:t>
            </w:r>
          </w:p>
        </w:tc>
      </w:tr>
    </w:tbl>
    <w:p>
      <w:pPr>
        <w:pStyle w:val="31"/>
        <w:sectPr>
          <w:pgSz w:w="11906" w:h="16838"/>
          <w:pgMar w:top="1440" w:right="1800" w:bottom="1440" w:left="1800" w:header="851" w:footer="992" w:gutter="0"/>
          <w:cols w:space="425" w:num="1"/>
          <w:docGrid w:type="lines" w:linePitch="312" w:charSpace="0"/>
        </w:sectPr>
      </w:pPr>
    </w:p>
    <w:p>
      <w:pPr>
        <w:pStyle w:val="2"/>
      </w:pPr>
      <w:bookmarkStart w:id="49" w:name="_Toc9978"/>
      <w:r>
        <w:rPr>
          <w:rFonts w:hint="eastAsia"/>
        </w:rPr>
        <w:t>环境影响报告书（表）主要结论与建议及其审批部门审批决定</w:t>
      </w:r>
      <w:bookmarkEnd w:id="49"/>
    </w:p>
    <w:p>
      <w:pPr>
        <w:pStyle w:val="3"/>
      </w:pPr>
      <w:bookmarkStart w:id="50" w:name="_Toc22825"/>
      <w:r>
        <w:rPr>
          <w:rFonts w:hint="eastAsia"/>
        </w:rPr>
        <w:t>环境影响报告书（表）主要结论与建议</w:t>
      </w:r>
      <w:bookmarkEnd w:id="50"/>
    </w:p>
    <w:p>
      <w:pPr>
        <w:pStyle w:val="4"/>
      </w:pPr>
      <w:bookmarkStart w:id="51" w:name="_Toc156491652"/>
      <w:bookmarkStart w:id="52" w:name="_Toc164292279"/>
      <w:bookmarkStart w:id="53" w:name="_Toc4948"/>
      <w:r>
        <w:rPr>
          <w:rFonts w:hint="eastAsia"/>
        </w:rPr>
        <w:t>选址合理性分析</w:t>
      </w:r>
      <w:bookmarkEnd w:id="51"/>
      <w:bookmarkEnd w:id="52"/>
      <w:bookmarkEnd w:id="53"/>
    </w:p>
    <w:p>
      <w:pPr>
        <w:autoSpaceDE w:val="0"/>
        <w:autoSpaceDN w:val="0"/>
        <w:adjustRightInd w:val="0"/>
        <w:snapToGrid w:val="0"/>
        <w:ind w:firstLine="480"/>
        <w:jc w:val="left"/>
      </w:pPr>
      <w:r>
        <w:rPr>
          <w:rFonts w:hint="eastAsia"/>
        </w:rPr>
        <w:t>根据粤（2023）高州市不动产权第0034967号，本项目用地属于其他商服用地，具有合法的土地使用权。根据附图15，项目属于城镇空间城市规划区，用地范围内无基本农田保护区、不在饮用水水源地保护区内，没有其他特殊保护用地和生态敏感区。因此，本项目选址符合土地利用规划要求。</w:t>
      </w:r>
    </w:p>
    <w:p>
      <w:pPr>
        <w:pStyle w:val="4"/>
      </w:pPr>
      <w:bookmarkStart w:id="54" w:name="_Toc156491654"/>
      <w:bookmarkStart w:id="55" w:name="_Toc164292280"/>
      <w:bookmarkStart w:id="56" w:name="_Toc29852"/>
      <w:r>
        <w:rPr>
          <w:rFonts w:hint="eastAsia"/>
        </w:rPr>
        <w:t>环境质量现状结论</w:t>
      </w:r>
      <w:bookmarkEnd w:id="54"/>
      <w:bookmarkEnd w:id="55"/>
      <w:bookmarkEnd w:id="56"/>
    </w:p>
    <w:p>
      <w:pPr>
        <w:ind w:firstLine="480"/>
      </w:pPr>
      <w:r>
        <w:rPr>
          <w:rFonts w:hint="eastAsia"/>
        </w:rPr>
        <w:t>（1）2022年茂名市SO</w:t>
      </w:r>
      <w:r>
        <w:rPr>
          <w:rFonts w:hint="eastAsia"/>
          <w:vertAlign w:val="subscript"/>
        </w:rPr>
        <w:t>2</w:t>
      </w:r>
      <w:r>
        <w:rPr>
          <w:rFonts w:hint="eastAsia"/>
        </w:rPr>
        <w:t>、NO</w:t>
      </w:r>
      <w:r>
        <w:rPr>
          <w:rFonts w:hint="eastAsia"/>
          <w:vertAlign w:val="subscript"/>
        </w:rPr>
        <w:t>2</w:t>
      </w:r>
      <w:r>
        <w:rPr>
          <w:rFonts w:hint="eastAsia"/>
        </w:rPr>
        <w:t>、PM</w:t>
      </w:r>
      <w:r>
        <w:rPr>
          <w:rFonts w:hint="eastAsia"/>
          <w:vertAlign w:val="subscript"/>
        </w:rPr>
        <w:t>10</w:t>
      </w:r>
      <w:r>
        <w:rPr>
          <w:rFonts w:hint="eastAsia"/>
        </w:rPr>
        <w:t>、PM</w:t>
      </w:r>
      <w:r>
        <w:rPr>
          <w:rFonts w:hint="eastAsia"/>
          <w:vertAlign w:val="subscript"/>
        </w:rPr>
        <w:t>2.5</w:t>
      </w:r>
      <w:r>
        <w:rPr>
          <w:rFonts w:hint="eastAsia"/>
        </w:rPr>
        <w:t>、CO、O</w:t>
      </w:r>
      <w:r>
        <w:rPr>
          <w:rFonts w:hint="eastAsia"/>
          <w:vertAlign w:val="subscript"/>
        </w:rPr>
        <w:t>3</w:t>
      </w:r>
      <w:r>
        <w:rPr>
          <w:rFonts w:hint="eastAsia"/>
        </w:rPr>
        <w:t>六项基本污染物均达到《环境空气质量标准》（GB 3095-2012）及2018年修改单的二级标准，可见项目所在区域环境空气质量现状达标。</w:t>
      </w:r>
    </w:p>
    <w:p>
      <w:pPr>
        <w:ind w:firstLine="480"/>
      </w:pPr>
      <w:r>
        <w:rPr>
          <w:rFonts w:hint="eastAsia"/>
        </w:rPr>
        <w:t>（2）根据补充检测结果可知，大气监测点中非甲烷总烃的1小时值满足《大气污染物综合排放标准详解》（GB/T18883-2002）中相应的标准要求。</w:t>
      </w:r>
    </w:p>
    <w:p>
      <w:pPr>
        <w:ind w:firstLine="480"/>
      </w:pPr>
      <w:r>
        <w:rPr>
          <w:rFonts w:hint="eastAsia"/>
        </w:rPr>
        <w:t>（</w:t>
      </w:r>
      <w:r>
        <w:t>3</w:t>
      </w:r>
      <w:r>
        <w:rPr>
          <w:rFonts w:hint="eastAsia"/>
        </w:rPr>
        <w:t>）根据声环境检测结果可知，项目北面站界噪声监测值满足《声环境质量标准》（GB3096-2008）4a类标准要求，项目东、南、西面站界及噪声敏感点中梁公园壹号噪声监测值满足《声环境质量标准》（GB3096-2008）2类标准要求。</w:t>
      </w:r>
    </w:p>
    <w:p>
      <w:pPr>
        <w:ind w:firstLine="480"/>
      </w:pPr>
      <w:r>
        <w:rPr>
          <w:rFonts w:hint="eastAsia"/>
        </w:rPr>
        <w:t>（4）根据《茂名市生态环境质量年报简报（2022年）》，米急渡断面为Ⅲ类水质，南盛水坝断面为Ⅱ类水质，水质状况良好，鉴江（高州平山桥～化州南盛水闸上2公里）水质满足《地表水环境质量标准》（GB3838-2002）Ⅲ类水质要求。</w:t>
      </w:r>
    </w:p>
    <w:p>
      <w:pPr>
        <w:pStyle w:val="4"/>
      </w:pPr>
      <w:bookmarkStart w:id="57" w:name="_Toc156491655"/>
      <w:bookmarkStart w:id="58" w:name="_Toc164292281"/>
      <w:bookmarkStart w:id="59" w:name="_Toc23449"/>
      <w:r>
        <w:rPr>
          <w:rFonts w:hint="eastAsia"/>
        </w:rPr>
        <w:t>环境影响分析结论</w:t>
      </w:r>
      <w:bookmarkEnd w:id="57"/>
      <w:bookmarkEnd w:id="58"/>
      <w:bookmarkEnd w:id="59"/>
    </w:p>
    <w:p>
      <w:pPr>
        <w:ind w:firstLine="482"/>
        <w:rPr>
          <w:b/>
        </w:rPr>
      </w:pPr>
      <w:r>
        <w:rPr>
          <w:rFonts w:hint="eastAsia"/>
          <w:b/>
        </w:rPr>
        <w:t>（一）施工期</w:t>
      </w:r>
    </w:p>
    <w:p>
      <w:pPr>
        <w:ind w:firstLine="480"/>
      </w:pPr>
      <w:r>
        <w:rPr>
          <w:rFonts w:hint="eastAsia"/>
        </w:rPr>
        <w:t>1、施工期废水</w:t>
      </w:r>
    </w:p>
    <w:p>
      <w:pPr>
        <w:ind w:firstLine="480"/>
      </w:pPr>
      <w:r>
        <w:rPr>
          <w:rFonts w:hint="eastAsia"/>
        </w:rPr>
        <w:t>施工过程产生的废水收集后处理。收集方式是在施工现场主要排水部位，如混凝土输送泵等处，设临时隔油沉淀池，将废水收集后进行沉淀处理；车辆冲洗过程中产生的废水排入隔油沉淀池处理。以上废水经处理后回用于施工现场降尘洒水。混凝土养护排水污染物浓度较低，直接用于施工现场降尘洒水。施工废水不外排，对周边地表水环境的影响不大。</w:t>
      </w:r>
    </w:p>
    <w:p>
      <w:pPr>
        <w:ind w:firstLine="480"/>
      </w:pPr>
      <w:r>
        <w:rPr>
          <w:rFonts w:hint="eastAsia"/>
        </w:rPr>
        <w:t>2、施工期废气</w:t>
      </w:r>
    </w:p>
    <w:p>
      <w:pPr>
        <w:ind w:firstLine="480"/>
        <w:rPr>
          <w:b/>
        </w:rPr>
      </w:pPr>
      <w:r>
        <w:rPr>
          <w:rFonts w:hint="eastAsia"/>
        </w:rPr>
        <w:t>项目施工期废气主要来自施工扬尘、施工机械排放的尾气。通过采取围挡、设置防尘纱网、洒水抑尘等相关措施后可减轻施工扬尘的影响；加强施工设备维护保养保持良好工况，使用优质燃料油，减少燃油尾气排放量。</w:t>
      </w:r>
    </w:p>
    <w:p>
      <w:pPr>
        <w:ind w:firstLine="480"/>
      </w:pPr>
      <w:r>
        <w:rPr>
          <w:rFonts w:hint="eastAsia"/>
        </w:rPr>
        <w:t>3、施工噪声</w:t>
      </w:r>
    </w:p>
    <w:p>
      <w:pPr>
        <w:ind w:firstLine="480"/>
      </w:pPr>
      <w:r>
        <w:rPr>
          <w:rFonts w:hint="eastAsia"/>
        </w:rPr>
        <w:t>施工过程中选用低噪声施工设备和运输车辆，建立临时声屏障，合理安排施工时间，合理布局施工现场可有效降低施工场界噪声影响，且随着施工期结束，噪声影响将消失，因此施工期噪声影响在可接受范围。</w:t>
      </w:r>
    </w:p>
    <w:p>
      <w:pPr>
        <w:ind w:firstLine="480"/>
      </w:pPr>
      <w:r>
        <w:rPr>
          <w:rFonts w:hint="eastAsia"/>
        </w:rPr>
        <w:t>4、固体废弃物</w:t>
      </w:r>
    </w:p>
    <w:p>
      <w:pPr>
        <w:ind w:firstLine="480"/>
      </w:pPr>
      <w:r>
        <w:rPr>
          <w:rFonts w:hint="eastAsia"/>
        </w:rPr>
        <w:t>建筑垃圾收集后堆放于指定地点，废木料、废金属、废钢筋可由废旧收购部门回收，砂石、石块、碎砖瓦除用于回填外，其余由施工方统一清运至市政部门指定场所妥善堆放处理；施工现场设垃圾桶，生活垃圾定点堆放，由环卫部门定期清运。在采取上述措施后，项目施工期固体废物对周围环境的影响较小。</w:t>
      </w:r>
    </w:p>
    <w:p>
      <w:pPr>
        <w:ind w:firstLine="482"/>
        <w:rPr>
          <w:b/>
        </w:rPr>
      </w:pPr>
      <w:r>
        <w:rPr>
          <w:rFonts w:hint="eastAsia"/>
          <w:b/>
        </w:rPr>
        <w:t>（二）营运期</w:t>
      </w:r>
    </w:p>
    <w:p>
      <w:pPr>
        <w:ind w:firstLine="480"/>
      </w:pPr>
      <w:r>
        <w:rPr>
          <w:rFonts w:hint="eastAsia"/>
        </w:rPr>
        <w:t>1、大气环境影响分析</w:t>
      </w:r>
    </w:p>
    <w:p>
      <w:pPr>
        <w:ind w:firstLine="480"/>
        <w:rPr>
          <w:bCs/>
        </w:rPr>
      </w:pPr>
      <w:r>
        <w:rPr>
          <w:rFonts w:hint="eastAsia"/>
        </w:rPr>
        <w:t>项目所在区域为环境空气质量达标区，本项目油气废气采用三次油气回收系统处理后于站内无组织排放，机动车尾气产生量较小，备用发电机尾气产生量少，以上各类污染物均能达到相应的排放标准且排放量较小。项目500m范围内的敏感目标共计7处，最近敏感点为项目东面28m中梁公园壹号，项目所在区域常年主导风向为东南风，最近敏感点在主导风向上风向。在保证污染防治措施正常运行的情况下，本项目大气污染物排放对区域环境空气质量现状以及大气环境保护目标影响较小</w:t>
      </w:r>
      <w:r>
        <w:rPr>
          <w:rFonts w:hint="eastAsia"/>
          <w:bCs/>
        </w:rPr>
        <w:t>。</w:t>
      </w:r>
    </w:p>
    <w:p>
      <w:pPr>
        <w:ind w:firstLine="480"/>
      </w:pPr>
      <w:r>
        <w:rPr>
          <w:rFonts w:hint="eastAsia"/>
        </w:rPr>
        <w:t>2、废水影响分析</w:t>
      </w:r>
    </w:p>
    <w:p>
      <w:pPr>
        <w:ind w:firstLine="480"/>
      </w:pPr>
      <w:r>
        <w:rPr>
          <w:rFonts w:hint="eastAsia"/>
        </w:rPr>
        <w:t>本项目生活污水、洗车废水、场地清洗废水、初期雨水经预处理达到广东省地方标准《水污染物排放限值》（DB44/26-2001）第二时段三级标准后经市政污水管网排入高州市城区水质净化厂进一步处理达标排放，本项目产生的废水不会对项目周边地表水环境产生较大影响。</w:t>
      </w:r>
    </w:p>
    <w:p>
      <w:pPr>
        <w:ind w:firstLine="480"/>
      </w:pPr>
      <w:r>
        <w:rPr>
          <w:rFonts w:hint="eastAsia"/>
        </w:rPr>
        <w:t>3、固体废物影响分析</w:t>
      </w:r>
    </w:p>
    <w:p>
      <w:pPr>
        <w:ind w:firstLine="480"/>
      </w:pPr>
      <w:r>
        <w:rPr>
          <w:rFonts w:hint="eastAsia"/>
        </w:rPr>
        <w:t>生活垃圾交环卫部门清运处理。项目清罐废渣、隔油池浮油均委托专业公司进行清理，收集后专车运走，交由有危险废物处理资质的单位处理，不在项目内存放。废含油抹布及手套收集后危废暂存柜暂存，定期交由有危险废物处理资质的单位处理。项目的固体废弃物能够实现资源化、无害化和减量化，对周围环境不产生影响，也不会产生二次污染，对周围环境影响不大。</w:t>
      </w:r>
    </w:p>
    <w:p>
      <w:pPr>
        <w:ind w:firstLine="480"/>
      </w:pPr>
      <w:r>
        <w:rPr>
          <w:rFonts w:hint="eastAsia"/>
        </w:rPr>
        <w:t>4、噪声</w:t>
      </w:r>
    </w:p>
    <w:p>
      <w:pPr>
        <w:ind w:firstLine="480"/>
      </w:pPr>
      <w:r>
        <w:rPr>
          <w:rFonts w:hint="eastAsia"/>
        </w:rPr>
        <w:t>预测结果可知，本项目运营期产生最大噪声影响情况下，在经过优选设备、合理布局、基础减振、隔声、距离衰减后，项目东、南、西站界昼间、夜间噪声排放值可满足《工业企业厂界环境噪声排放标准》（GB12348-2008）2类标准，北站界昼间、夜间噪声排放值可满足《工业企业厂界环境噪声排放标准》（GB12348-2008）4类标准，敏感点中梁公园壹号叠加贡献值后环境噪声均可满足《声环境质量标准》（GB3096-2008）2类标准。</w:t>
      </w:r>
    </w:p>
    <w:p>
      <w:pPr>
        <w:pStyle w:val="4"/>
      </w:pPr>
      <w:bookmarkStart w:id="60" w:name="_Toc156491656"/>
      <w:bookmarkStart w:id="61" w:name="_Toc6033"/>
      <w:bookmarkStart w:id="62" w:name="_Toc164292282"/>
      <w:r>
        <w:rPr>
          <w:rFonts w:hint="eastAsia"/>
        </w:rPr>
        <w:t>综合评价结论</w:t>
      </w:r>
      <w:bookmarkEnd w:id="60"/>
      <w:bookmarkEnd w:id="61"/>
      <w:bookmarkEnd w:id="62"/>
    </w:p>
    <w:p>
      <w:pPr>
        <w:ind w:firstLine="480"/>
      </w:pPr>
      <w:r>
        <w:rPr>
          <w:rFonts w:hint="eastAsia"/>
        </w:rPr>
        <w:t>项目营运期间产生的各种污染物如能按本报告提出的污染防治措施进行治理，保证污染治理工程与主体工程如实正常运行，且加强污染治理措施和设备的运营管理，则本项目的建设不会使当地水环境、环境空气、声环境发生现状质量级别的改变。因此，从环境保护角度考虑，建设项目环境影响可行。</w:t>
      </w:r>
    </w:p>
    <w:p>
      <w:pPr>
        <w:pStyle w:val="3"/>
      </w:pPr>
      <w:bookmarkStart w:id="63" w:name="_Toc7309"/>
      <w:r>
        <w:rPr>
          <w:rFonts w:hint="eastAsia"/>
        </w:rPr>
        <w:t>审批部门审批决定及环评批复落实情况</w:t>
      </w:r>
      <w:bookmarkEnd w:id="63"/>
    </w:p>
    <w:p>
      <w:pPr>
        <w:ind w:firstLine="480"/>
      </w:pPr>
      <w:r>
        <w:rPr>
          <w:rFonts w:hint="eastAsia"/>
        </w:rPr>
        <w:t>根据茂名市生态环境局高州分局《关于高州市翔雄能源有限公司新建加油站项目环境影响报告表的批复》（茂环（高州）审[2023]17号），落实情况如下表：</w:t>
      </w:r>
    </w:p>
    <w:p>
      <w:pPr>
        <w:pStyle w:val="35"/>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5.3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批复落实情况表</w:t>
      </w:r>
    </w:p>
    <w:tbl>
      <w:tblPr>
        <w:tblStyle w:val="2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8"/>
        <w:gridCol w:w="3494"/>
        <w:gridCol w:w="8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trPr>
        <w:tc>
          <w:tcPr>
            <w:tcW w:w="4218" w:type="dxa"/>
            <w:vAlign w:val="center"/>
          </w:tcPr>
          <w:p>
            <w:pPr>
              <w:pStyle w:val="31"/>
              <w:rPr>
                <w:b/>
              </w:rPr>
            </w:pPr>
            <w:r>
              <w:rPr>
                <w:rFonts w:hint="eastAsia"/>
                <w:b/>
              </w:rPr>
              <w:t>环评批复</w:t>
            </w:r>
          </w:p>
        </w:tc>
        <w:tc>
          <w:tcPr>
            <w:tcW w:w="3494" w:type="dxa"/>
            <w:vAlign w:val="center"/>
          </w:tcPr>
          <w:p>
            <w:pPr>
              <w:pStyle w:val="31"/>
              <w:rPr>
                <w:b/>
              </w:rPr>
            </w:pPr>
            <w:r>
              <w:rPr>
                <w:rFonts w:hint="eastAsia"/>
                <w:b/>
              </w:rPr>
              <w:t>实际情况</w:t>
            </w:r>
          </w:p>
        </w:tc>
        <w:tc>
          <w:tcPr>
            <w:tcW w:w="810" w:type="dxa"/>
            <w:vAlign w:val="center"/>
          </w:tcPr>
          <w:p>
            <w:pPr>
              <w:pStyle w:val="31"/>
              <w:rPr>
                <w:b/>
              </w:rPr>
            </w:pPr>
            <w:r>
              <w:rPr>
                <w:rFonts w:hint="eastAsia"/>
                <w:b/>
              </w:rPr>
              <w:t>符合性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18" w:type="dxa"/>
            <w:vAlign w:val="center"/>
          </w:tcPr>
          <w:p>
            <w:pPr>
              <w:pStyle w:val="31"/>
              <w:jc w:val="both"/>
            </w:pPr>
            <w:r>
              <w:rPr>
                <w:rFonts w:hint="eastAsia"/>
              </w:rPr>
              <w:t>一、高州市翔雄能源有限公司新建加油站项目位于高州市山美街道城东片区站前路。项目占地面积为5670.16平方米，建筑面积为1760.39平方米。本工程主要建设内容包括:1、设置6台潜油泵式带油气回收功能6枪3品加油机；2、设置1个50立方米 0#柴油储罐，1个40立方米92#汽油储油罐、1个50立方。米95#汽油储罐、1个30立方米98#汽油储油罐，均为埋地油罐；3、设置卸油油气回收系统、加油油气回收系统、汽油油气回收后处理装置；4、配套建设23个充电车位、1台自动洗车机、便利店、配电室、办公室、休息室等辅助工程。项目建成后，年销售92#汽油 3000吨，年销售95#汽油4500吨，年销售98#汽油1000吨，年销售柴油1300吨。项目总投资700万元，其中环保投资50万元，约占总投资的7.14%。</w:t>
            </w:r>
          </w:p>
        </w:tc>
        <w:tc>
          <w:tcPr>
            <w:tcW w:w="3494" w:type="dxa"/>
            <w:vAlign w:val="center"/>
          </w:tcPr>
          <w:p>
            <w:pPr>
              <w:pStyle w:val="31"/>
              <w:jc w:val="both"/>
              <w:rPr>
                <w:rFonts w:hint="eastAsia"/>
              </w:rPr>
            </w:pPr>
            <w:r>
              <w:rPr>
                <w:rFonts w:hint="eastAsia"/>
              </w:rPr>
              <w:t>项目建设地址、建设内容等与批复基本一致。</w:t>
            </w:r>
            <w:r>
              <w:rPr>
                <w:rFonts w:hint="eastAsia"/>
                <w:color w:val="7030A0"/>
              </w:rPr>
              <w:t>目前配套建设的23个充电车位未建设。</w:t>
            </w:r>
          </w:p>
        </w:tc>
        <w:tc>
          <w:tcPr>
            <w:tcW w:w="810" w:type="dxa"/>
            <w:vAlign w:val="center"/>
          </w:tcPr>
          <w:p>
            <w:pPr>
              <w:pStyle w:val="31"/>
            </w:pPr>
            <w:r>
              <w:rPr>
                <w:rFonts w:hint="eastAsia"/>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01" w:hRule="atLeast"/>
        </w:trPr>
        <w:tc>
          <w:tcPr>
            <w:tcW w:w="4218" w:type="dxa"/>
            <w:vAlign w:val="center"/>
          </w:tcPr>
          <w:p>
            <w:pPr>
              <w:pStyle w:val="31"/>
              <w:jc w:val="both"/>
              <w:rPr>
                <w:color w:val="auto"/>
              </w:rPr>
            </w:pPr>
            <w:r>
              <w:rPr>
                <w:rFonts w:hint="eastAsia"/>
                <w:color w:val="auto"/>
              </w:rPr>
              <w:t>二、根据《报告表》的评价结论，在严格落实《报告表》提出的各项污染防治和环境风险防范措施,严格执行环保“三同时”制度，确保各类污染物稳定达标排放的前提下，从环境保护角度可行。项目建设和运营中还应重点做好以下工作：</w:t>
            </w:r>
          </w:p>
          <w:p>
            <w:pPr>
              <w:pStyle w:val="31"/>
              <w:jc w:val="both"/>
              <w:rPr>
                <w:color w:val="auto"/>
              </w:rPr>
            </w:pPr>
            <w:r>
              <w:rPr>
                <w:rFonts w:hint="eastAsia"/>
                <w:color w:val="auto"/>
              </w:rPr>
              <w:t>(一)严格落实大气污染防治措施。施工边界设置围挡；施工期间定期对施工场地和运输道路洒水抑尘；车辆密闭运输，合理安排运输路线；不在施工现场进行混凝土搅拌作业。运营期项目废气主要为储油罐大呼吸、小呼吸、加油作业、跑冒滴漏等产生的无组织排放油气(以非甲烷总烃计)、汽车进出加油站产生的尾气和备用发电机尾气。</w:t>
            </w:r>
          </w:p>
          <w:p>
            <w:pPr>
              <w:pStyle w:val="31"/>
              <w:jc w:val="both"/>
              <w:rPr>
                <w:color w:val="auto"/>
              </w:rPr>
            </w:pPr>
            <w:r>
              <w:rPr>
                <w:rFonts w:hint="eastAsia"/>
                <w:color w:val="auto"/>
              </w:rPr>
              <w:t>采取的措施为：储油罐大呼吸产生的非甲烷总烃通过一次油气回收系统处理；加油作业产生的非甲烷总烃通过二次油气回收系统处理；汽油储罐产生的非甲烷总烃通过三次油气回收系统(冷凝+膜分离)处理；加油站建立完善的油气回收管理制度，定期检查、维护油气回收系统，开展自行监测。</w:t>
            </w:r>
          </w:p>
          <w:p>
            <w:pPr>
              <w:pStyle w:val="31"/>
              <w:jc w:val="both"/>
              <w:rPr>
                <w:color w:val="auto"/>
              </w:rPr>
            </w:pPr>
            <w:r>
              <w:rPr>
                <w:rFonts w:hint="eastAsia"/>
                <w:color w:val="auto"/>
              </w:rPr>
              <w:t>油气处理装置排放的非甲烷总烃执行《加油站大气污染物排放标准》(GB20952-2020);场界无组织排放非甲烷总烃执行《加油站大气污染物排放标准》(GB20952-2020)加油站企业边界油气浓度无组织排放限值；备用发电机尾气执行广东省《大气污染物排放限值》(DB4427-2001)第二时段二级标准限值。</w:t>
            </w:r>
          </w:p>
          <w:p>
            <w:pPr>
              <w:pStyle w:val="31"/>
              <w:jc w:val="both"/>
              <w:rPr>
                <w:color w:val="auto"/>
              </w:rPr>
            </w:pPr>
            <w:r>
              <w:rPr>
                <w:rFonts w:hint="eastAsia"/>
                <w:color w:val="auto"/>
              </w:rPr>
              <w:t>(二)严格落实水污染防治措施。施工期废水经临时隔油沉淀池沉淀后，回用于施工现场洒水降尘；施工期间不设置施工营地，施工人员生活污水处理就近租用当地居民现有设施。运营期废水为洗车废水、场地清洗废水、初期雨水和生活污水。</w:t>
            </w:r>
          </w:p>
          <w:p>
            <w:pPr>
              <w:pStyle w:val="31"/>
              <w:jc w:val="both"/>
              <w:rPr>
                <w:color w:val="auto"/>
              </w:rPr>
            </w:pPr>
            <w:r>
              <w:rPr>
                <w:rFonts w:hint="eastAsia"/>
                <w:color w:val="auto"/>
              </w:rPr>
              <w:t>采取的措施为：洗车废水、场地清洗废水、初期雨水经隔油池预处理，出水达到广东省地方标准《水污染物排放限值》(DB44/26-2001)第二时段三级标准后，和生活污水一起通过市政污水管网排入高州市城区水质净化厂。</w:t>
            </w:r>
          </w:p>
          <w:p>
            <w:pPr>
              <w:pStyle w:val="31"/>
              <w:jc w:val="both"/>
              <w:rPr>
                <w:color w:val="auto"/>
              </w:rPr>
            </w:pPr>
            <w:r>
              <w:rPr>
                <w:rFonts w:hint="eastAsia"/>
                <w:color w:val="auto"/>
              </w:rPr>
              <w:t>(三)严格落实噪声污染防治措施。施工过程选择低噪声设备，合理安排施工时间，加强运输车辆管理等。营运期合理布局、选用低噪声设备、采取隔振、隔声或消声措施、加强设备维护。</w:t>
            </w:r>
          </w:p>
          <w:p>
            <w:pPr>
              <w:pStyle w:val="31"/>
              <w:jc w:val="both"/>
              <w:rPr>
                <w:color w:val="auto"/>
              </w:rPr>
            </w:pPr>
            <w:r>
              <w:rPr>
                <w:rFonts w:hint="eastAsia"/>
                <w:color w:val="auto"/>
              </w:rPr>
              <w:t>北面站界噪声值满足《工业企业厂界环境噪声排放标准》(GB12348-2008)4类标准，其余站界噪声值满足2类标准；周边敏感点噪声值满足《声环境质量标准》(GB3096-2008)中的2 类标准。</w:t>
            </w:r>
          </w:p>
          <w:p>
            <w:pPr>
              <w:pStyle w:val="31"/>
              <w:jc w:val="both"/>
              <w:rPr>
                <w:color w:val="auto"/>
              </w:rPr>
            </w:pPr>
            <w:r>
              <w:rPr>
                <w:rFonts w:hint="eastAsia"/>
                <w:color w:val="auto"/>
              </w:rPr>
              <w:t>(四)严格落实固体废物分类处理处置要求。建设期项目建筑垃圾运至市政部门指定场所妥善堆放处理；施工人员的生活垃圾统一收集后由当地环卫部门清运处理。运营期项目固体废物主要为废含油抹布及手套、清罐废渣、隔油池浮油和生活垃圾。</w:t>
            </w:r>
          </w:p>
          <w:p>
            <w:pPr>
              <w:pStyle w:val="31"/>
              <w:jc w:val="both"/>
              <w:rPr>
                <w:color w:val="auto"/>
              </w:rPr>
            </w:pPr>
            <w:r>
              <w:rPr>
                <w:rFonts w:hint="eastAsia"/>
                <w:color w:val="auto"/>
              </w:rPr>
              <w:t>采取的固体废物措施包括：废含油抹布及手套收集后暂存于1立方米的危废暂存柜，委托有处理资质单位处理；清罐废渣、隔油池浮油即清即走，委托有处理资质单位处理,不在站内储存；生活垃圾收集后由环卫部门运走处理。</w:t>
            </w:r>
          </w:p>
          <w:p>
            <w:pPr>
              <w:pStyle w:val="31"/>
              <w:jc w:val="both"/>
              <w:rPr>
                <w:color w:val="auto"/>
              </w:rPr>
            </w:pPr>
            <w:r>
              <w:rPr>
                <w:rFonts w:hint="eastAsia"/>
                <w:color w:val="auto"/>
              </w:rPr>
              <w:t>(五)</w:t>
            </w:r>
            <w:bookmarkStart w:id="64" w:name="_Hlk163739454"/>
            <w:r>
              <w:rPr>
                <w:rFonts w:hint="eastAsia"/>
                <w:color w:val="auto"/>
              </w:rPr>
              <w:t>制订并落实有效的环境风险防范措施和环境应急预案，建立健全环境事故应急体系。对油罐、管道采取防渗、防腐措施，地面全部采取硬化防渗措施，储油罐安装液位仪，油罐的进出口管道采用金属软管连接;配备足够的干粉灭火器、泡沫灭火器等消防灭火器材；定期检查油气回收系统的运行情况；制定环境风险应急预案，加强职工的风险防范培训，提高风险防范意识。</w:t>
            </w:r>
            <w:bookmarkEnd w:id="64"/>
          </w:p>
          <w:p>
            <w:pPr>
              <w:pStyle w:val="31"/>
              <w:jc w:val="both"/>
              <w:rPr>
                <w:color w:val="auto"/>
              </w:rPr>
            </w:pPr>
            <w:r>
              <w:rPr>
                <w:rFonts w:hint="eastAsia"/>
                <w:color w:val="auto"/>
              </w:rPr>
              <w:t>(六)加强项目施工期环境管理，防止工程施工造成环境污染或生态破坏。合理安排施工时间，施工噪声执行《建筑施工场界环境噪声排放标准》(GB12523-2011)中的标准限值要求。</w:t>
            </w:r>
          </w:p>
          <w:p>
            <w:pPr>
              <w:pStyle w:val="31"/>
              <w:jc w:val="both"/>
              <w:rPr>
                <w:color w:val="auto"/>
              </w:rPr>
            </w:pPr>
            <w:r>
              <w:rPr>
                <w:rFonts w:hint="eastAsia"/>
                <w:color w:val="auto"/>
              </w:rPr>
              <w:t>(七)在项目施工和运营过程中,建立畅通的公众参与平台，定期发布环境信息，主动接受社会监督，及时解决公众合理的环境诉求。</w:t>
            </w:r>
          </w:p>
          <w:p>
            <w:pPr>
              <w:pStyle w:val="31"/>
              <w:jc w:val="both"/>
              <w:rPr>
                <w:color w:val="auto"/>
              </w:rPr>
            </w:pPr>
          </w:p>
        </w:tc>
        <w:tc>
          <w:tcPr>
            <w:tcW w:w="3494" w:type="dxa"/>
            <w:vAlign w:val="center"/>
          </w:tcPr>
          <w:p>
            <w:pPr>
              <w:pStyle w:val="31"/>
              <w:jc w:val="both"/>
              <w:rPr>
                <w:color w:val="auto"/>
              </w:rPr>
            </w:pPr>
            <w:r>
              <w:rPr>
                <w:rFonts w:hint="eastAsia"/>
                <w:color w:val="auto"/>
              </w:rPr>
              <w:t>已落实</w:t>
            </w:r>
            <w:r>
              <w:rPr>
                <w:rFonts w:hint="eastAsia"/>
                <w:color w:val="auto"/>
                <w:szCs w:val="21"/>
              </w:rPr>
              <w:t>。（一）</w:t>
            </w:r>
            <w:r>
              <w:rPr>
                <w:rFonts w:hint="eastAsia"/>
                <w:color w:val="auto"/>
              </w:rPr>
              <w:t>施工边界已设置围挡；施工期间定期对施工场地和运输道路洒水抑尘；车辆密闭运输，合理安排运输路线；不在施工现场进行混凝土搅拌作业。运营期项目废气主要为储油罐大呼吸、小呼吸、加油作业、跑冒滴漏等产生的无组织排放油气(以非甲烷总烃计)、汽车进出加油站产生的尾气。</w:t>
            </w:r>
          </w:p>
          <w:p>
            <w:pPr>
              <w:pStyle w:val="31"/>
              <w:jc w:val="both"/>
              <w:rPr>
                <w:color w:val="auto"/>
              </w:rPr>
            </w:pPr>
            <w:r>
              <w:rPr>
                <w:rFonts w:hint="eastAsia"/>
                <w:color w:val="auto"/>
              </w:rPr>
              <w:t>采取的措施为：储油罐大呼吸产生的非甲烷总烃通过一次油气回收系统处理；加油作业产生的非甲烷总烃通过二次油气回收系统处理；汽油储罐产生的非甲烷总烃通过三次油气回收系统(冷凝+膜分离)处理；加油站建立完善的油气回收管理制度，定期检查、维护油气回收系统，开展自行监测。</w:t>
            </w:r>
          </w:p>
          <w:p>
            <w:pPr>
              <w:pStyle w:val="31"/>
              <w:jc w:val="both"/>
              <w:rPr>
                <w:color w:val="auto"/>
              </w:rPr>
            </w:pPr>
            <w:r>
              <w:rPr>
                <w:rFonts w:hint="eastAsia"/>
                <w:color w:val="auto"/>
              </w:rPr>
              <w:t>油气处理装置排放的非甲烷总烃执行《加油站大气污染物排放标准》(GB20952-2020)；场界无组织排放非甲烷总烃执行《加油站大气污染物排放标准》(GB20952-2020)加油站企业边界油气浓度无组织排放限值。</w:t>
            </w:r>
          </w:p>
          <w:p>
            <w:pPr>
              <w:pStyle w:val="31"/>
              <w:jc w:val="both"/>
              <w:rPr>
                <w:color w:val="auto"/>
              </w:rPr>
            </w:pPr>
            <w:r>
              <w:rPr>
                <w:rFonts w:hint="eastAsia"/>
                <w:color w:val="auto"/>
              </w:rPr>
              <w:t>(二)已落实水污染防治措施。施工期废水经临时隔油沉淀池沉淀后，回用于施工现场洒水降尘；施工期间不设置施工营地，施工人员生活污水处理就近租用当地居民现有设施。运营期废水为洗车废水、场地清洗废水、初期雨水和生活污水。</w:t>
            </w:r>
          </w:p>
          <w:p>
            <w:pPr>
              <w:pStyle w:val="31"/>
              <w:jc w:val="both"/>
              <w:rPr>
                <w:color w:val="auto"/>
              </w:rPr>
            </w:pPr>
            <w:r>
              <w:rPr>
                <w:rFonts w:hint="eastAsia"/>
                <w:color w:val="auto"/>
              </w:rPr>
              <w:t>采取的措施为：洗车废水、场地清洗废水、初期雨水经隔油池预处理，出水达到广东省地方标准《水污染物排放限值》(DB44/26-2001)第二时段三级标准后，和生活污水一起通过市政污水管网排入高州市城区水质净化厂。</w:t>
            </w:r>
          </w:p>
          <w:p>
            <w:pPr>
              <w:pStyle w:val="31"/>
              <w:jc w:val="both"/>
              <w:rPr>
                <w:color w:val="auto"/>
              </w:rPr>
            </w:pPr>
            <w:r>
              <w:rPr>
                <w:rFonts w:hint="eastAsia"/>
                <w:color w:val="auto"/>
              </w:rPr>
              <w:t>(三)已落实噪声污染防治措施。施工过程选择低噪声设备，合理安排施工时间，加强运输车辆管理等。营运期合理布局、选用低噪声设备、采取隔振、隔声或消声措施、加强设备维护。</w:t>
            </w:r>
          </w:p>
          <w:p>
            <w:pPr>
              <w:pStyle w:val="31"/>
              <w:jc w:val="both"/>
              <w:rPr>
                <w:color w:val="auto"/>
              </w:rPr>
            </w:pPr>
            <w:r>
              <w:rPr>
                <w:rFonts w:hint="eastAsia"/>
                <w:color w:val="auto"/>
              </w:rPr>
              <w:t>北面站界噪声值满足《工业企业厂界环境噪声排放标准》(GB12348-2008)4类标准，其余站界噪声值满足2类标准；周边敏感点噪声值满足《声环境质量标准》(GB3096-2008)中的2 类标准。</w:t>
            </w:r>
          </w:p>
          <w:p>
            <w:pPr>
              <w:pStyle w:val="31"/>
              <w:jc w:val="both"/>
              <w:rPr>
                <w:color w:val="auto"/>
              </w:rPr>
            </w:pPr>
            <w:r>
              <w:rPr>
                <w:rFonts w:hint="eastAsia"/>
                <w:color w:val="auto"/>
              </w:rPr>
              <w:t>(四)已落实固体废物分类处理处置要求。建设期项目建筑垃圾运至市政部门指定场所妥善堆放处理；施工人员的生活垃圾统一收集后由当地环卫部门清运处理。运营期项目固体废物主要为废含油抹布及手套、清罐废渣、隔油池浮油和生活垃圾。</w:t>
            </w:r>
          </w:p>
          <w:p>
            <w:pPr>
              <w:pStyle w:val="31"/>
              <w:jc w:val="both"/>
              <w:rPr>
                <w:color w:val="auto"/>
              </w:rPr>
            </w:pPr>
            <w:r>
              <w:rPr>
                <w:rFonts w:hint="eastAsia"/>
                <w:color w:val="auto"/>
              </w:rPr>
              <w:t>采取的固体废物措施包括：废含油抹布及手套收集后暂存于1立方米的危废暂存柜，委托茂名景胜环保科技有限公司处理；清罐废渣、隔油池浮油即清即走，委托茂名景胜环保科技有限公司处理，不在站内储存；生活垃圾收集后由环卫部门运走处理。</w:t>
            </w:r>
          </w:p>
          <w:p>
            <w:pPr>
              <w:pStyle w:val="31"/>
              <w:jc w:val="both"/>
              <w:rPr>
                <w:color w:val="auto"/>
              </w:rPr>
            </w:pPr>
            <w:r>
              <w:rPr>
                <w:rFonts w:hint="eastAsia"/>
                <w:color w:val="auto"/>
              </w:rPr>
              <w:t>(五)已制订并落实有效的环境风险防范措施和环境应急预案，建立健全环境事故应急体系。对油罐、管道采取防渗、防腐措施，地面全部采取硬化防渗措施，储油罐安装液位仪，油罐的进出口管道采用金属软管连接;配备足够的干粉灭火器、泡沫灭火器等消防灭火器材；定期检查油气回收系统的运行情况；制定环境风险应急预案，加强职工的风险防范培训，提高风险防范意识。</w:t>
            </w:r>
          </w:p>
          <w:p>
            <w:pPr>
              <w:pStyle w:val="31"/>
              <w:jc w:val="both"/>
              <w:rPr>
                <w:color w:val="auto"/>
              </w:rPr>
            </w:pPr>
            <w:r>
              <w:rPr>
                <w:rFonts w:hint="eastAsia"/>
                <w:color w:val="auto"/>
              </w:rPr>
              <w:t>(六)已加强项目施工期环境管理，防止工程施工造成环境污染或生态破坏。合理安排施工时间，施工噪声执行《建筑施工场界环境噪声排放标准》(GB12523-2011)中的标准限值要求。</w:t>
            </w:r>
          </w:p>
        </w:tc>
        <w:tc>
          <w:tcPr>
            <w:tcW w:w="810" w:type="dxa"/>
            <w:vAlign w:val="center"/>
          </w:tcPr>
          <w:p>
            <w:pPr>
              <w:pStyle w:val="31"/>
            </w:pPr>
            <w:r>
              <w:rPr>
                <w:rFonts w:hint="eastAsia"/>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18" w:type="dxa"/>
            <w:vAlign w:val="center"/>
          </w:tcPr>
          <w:p>
            <w:pPr>
              <w:pStyle w:val="31"/>
              <w:jc w:val="both"/>
            </w:pPr>
            <w:r>
              <w:rPr>
                <w:rFonts w:hint="eastAsia"/>
              </w:rPr>
              <w:t>三、在茂名市环境技术中心出具《高州市翔雄能源有限公司新建加油站项目环境影响报告表》(茂环技评〔2023]124号)的基础上，经集体审议，原则上同意你单位在落实《报告表》中提出的污染防治措施的前提下实施该项目。</w:t>
            </w:r>
          </w:p>
        </w:tc>
        <w:tc>
          <w:tcPr>
            <w:tcW w:w="3494" w:type="dxa"/>
            <w:vAlign w:val="center"/>
          </w:tcPr>
          <w:p>
            <w:pPr>
              <w:pStyle w:val="31"/>
              <w:jc w:val="both"/>
            </w:pPr>
            <w:r>
              <w:rPr>
                <w:rFonts w:hint="eastAsia"/>
              </w:rPr>
              <w:t>项目已落实环境影响报告表的内容和结论。</w:t>
            </w:r>
          </w:p>
        </w:tc>
        <w:tc>
          <w:tcPr>
            <w:tcW w:w="810" w:type="dxa"/>
            <w:vAlign w:val="center"/>
          </w:tcPr>
          <w:p>
            <w:pPr>
              <w:pStyle w:val="31"/>
            </w:pPr>
            <w:r>
              <w:rPr>
                <w:rFonts w:hint="eastAsia"/>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18" w:type="dxa"/>
            <w:vAlign w:val="center"/>
          </w:tcPr>
          <w:p>
            <w:pPr>
              <w:pStyle w:val="31"/>
              <w:jc w:val="both"/>
            </w:pPr>
            <w:r>
              <w:rPr>
                <w:rFonts w:hint="eastAsia"/>
              </w:rPr>
              <w:t>四、你单位在项目实施过程中需严格执行环境保护“三同时”制度，主体工程需与环境保护工程同时设计、同时施工、同时投入使用。建设项目竣工后还需根据《建设项目环境保护管理条例》的相关规定进行“建设项目竣工环境保护验收”，验收合格后方可投入生产或使用。</w:t>
            </w:r>
          </w:p>
        </w:tc>
        <w:tc>
          <w:tcPr>
            <w:tcW w:w="3494" w:type="dxa"/>
            <w:vAlign w:val="center"/>
          </w:tcPr>
          <w:p>
            <w:pPr>
              <w:pStyle w:val="31"/>
              <w:jc w:val="both"/>
            </w:pPr>
            <w:r>
              <w:rPr>
                <w:rFonts w:hint="eastAsia"/>
              </w:rPr>
              <w:t>本单位在项目实施过程中已严格执行环境保护“三同时”制度，主体工程需与环境保护工程同时设计、同时施工、同时投入使用。现根据《建设项目环境保护管理条例》的相关规定进行“建设项目竣工环境保护验收”。</w:t>
            </w:r>
          </w:p>
        </w:tc>
        <w:tc>
          <w:tcPr>
            <w:tcW w:w="810" w:type="dxa"/>
            <w:vAlign w:val="center"/>
          </w:tcPr>
          <w:p>
            <w:pPr>
              <w:pStyle w:val="31"/>
            </w:pPr>
            <w:r>
              <w:rPr>
                <w:rFonts w:hint="eastAsia"/>
              </w:rPr>
              <w:t>符合</w:t>
            </w:r>
          </w:p>
        </w:tc>
      </w:tr>
    </w:tbl>
    <w:p>
      <w:pPr>
        <w:ind w:firstLine="480"/>
      </w:pPr>
    </w:p>
    <w:p>
      <w:pPr>
        <w:ind w:firstLine="480"/>
      </w:pPr>
    </w:p>
    <w:p>
      <w:pPr>
        <w:ind w:firstLine="480"/>
        <w:sectPr>
          <w:pgSz w:w="11906" w:h="16838"/>
          <w:pgMar w:top="1440" w:right="1800" w:bottom="1440" w:left="1800" w:header="851" w:footer="992" w:gutter="0"/>
          <w:cols w:space="425" w:num="1"/>
          <w:docGrid w:type="lines" w:linePitch="312" w:charSpace="0"/>
        </w:sectPr>
      </w:pPr>
    </w:p>
    <w:p>
      <w:pPr>
        <w:pStyle w:val="2"/>
      </w:pPr>
      <w:bookmarkStart w:id="65" w:name="_Toc32737"/>
      <w:r>
        <w:rPr>
          <w:rFonts w:hint="eastAsia"/>
        </w:rPr>
        <w:t>验收执行标准</w:t>
      </w:r>
      <w:bookmarkEnd w:id="65"/>
    </w:p>
    <w:p>
      <w:pPr>
        <w:pStyle w:val="3"/>
      </w:pPr>
      <w:bookmarkStart w:id="66" w:name="_Toc26682"/>
      <w:r>
        <w:rPr>
          <w:rFonts w:hint="eastAsia"/>
        </w:rPr>
        <w:t>废水</w:t>
      </w:r>
      <w:bookmarkEnd w:id="66"/>
    </w:p>
    <w:p>
      <w:pPr>
        <w:ind w:firstLine="480"/>
      </w:pPr>
      <w:r>
        <w:rPr>
          <w:rFonts w:hint="eastAsia"/>
        </w:rPr>
        <w:t>本项目经过三级化粪池预处理的生活污水和经过隔油池预处理的场地清洗废水、洗车废水、初期雨水达到广东省地方标准《水污染物排放限值》（DB44/26-2001）第二时段三级标准由市政污水管网排入高州市城区水质净化厂进一步处理。项目废水执行</w:t>
      </w:r>
      <w:r>
        <w:t>具体标准限值如下表。</w:t>
      </w:r>
    </w:p>
    <w:p>
      <w:pPr>
        <w:pStyle w:val="59"/>
        <w:spacing w:line="240" w:lineRule="auto"/>
        <w:ind w:firstLine="480"/>
        <w:rPr>
          <w:szCs w:val="21"/>
        </w:rPr>
      </w:pPr>
      <w:r>
        <w:rPr>
          <w:szCs w:val="21"/>
        </w:rPr>
        <w:t>表</w:t>
      </w:r>
      <w:r>
        <w:rPr>
          <w:rFonts w:hint="eastAsia"/>
          <w:szCs w:val="21"/>
        </w:rPr>
        <w:t>6.1-1</w:t>
      </w:r>
      <w:r>
        <w:rPr>
          <w:szCs w:val="21"/>
        </w:rPr>
        <w:t xml:space="preserve"> </w:t>
      </w:r>
      <w:r>
        <w:rPr>
          <w:rFonts w:hint="eastAsia"/>
          <w:szCs w:val="21"/>
        </w:rPr>
        <w:t>项目废水执行</w:t>
      </w:r>
      <w:r>
        <w:rPr>
          <w:szCs w:val="21"/>
        </w:rPr>
        <w:t>标准</w:t>
      </w:r>
      <w:r>
        <w:rPr>
          <w:rFonts w:hint="eastAsia"/>
          <w:szCs w:val="21"/>
        </w:rPr>
        <w:t xml:space="preserve"> 单位：mg</w:t>
      </w:r>
      <w:r>
        <w:rPr>
          <w:szCs w:val="21"/>
        </w:rPr>
        <w:t>/L</w:t>
      </w:r>
      <w:r>
        <w:rPr>
          <w:rFonts w:hint="eastAsia"/>
          <w:szCs w:val="21"/>
        </w:rPr>
        <w:t>，pH无量纲</w:t>
      </w:r>
    </w:p>
    <w:tbl>
      <w:tblPr>
        <w:tblStyle w:val="22"/>
        <w:tblW w:w="819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19"/>
        <w:gridCol w:w="615"/>
        <w:gridCol w:w="762"/>
        <w:gridCol w:w="767"/>
        <w:gridCol w:w="613"/>
        <w:gridCol w:w="613"/>
        <w:gridCol w:w="614"/>
        <w:gridCol w:w="6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519"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82" w:leftChars="-76" w:right="-202" w:rightChars="-84"/>
              <w:jc w:val="center"/>
              <w:rPr>
                <w:rFonts w:ascii="Times New Roman" w:hAnsi="Times New Roman"/>
                <w:sz w:val="21"/>
                <w:szCs w:val="21"/>
              </w:rPr>
            </w:pPr>
            <w:r>
              <w:rPr>
                <w:rFonts w:ascii="Times New Roman" w:hAnsi="Times New Roman"/>
                <w:sz w:val="21"/>
                <w:szCs w:val="21"/>
              </w:rPr>
              <w:t>标准</w:t>
            </w:r>
          </w:p>
        </w:tc>
        <w:tc>
          <w:tcPr>
            <w:tcW w:w="615"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82" w:leftChars="-76" w:right="-202" w:rightChars="-84"/>
              <w:jc w:val="center"/>
              <w:rPr>
                <w:rFonts w:ascii="Times New Roman" w:hAnsi="Times New Roman"/>
                <w:sz w:val="21"/>
                <w:szCs w:val="21"/>
              </w:rPr>
            </w:pPr>
            <w:r>
              <w:rPr>
                <w:rFonts w:ascii="Times New Roman" w:hAnsi="Times New Roman"/>
                <w:sz w:val="21"/>
                <w:szCs w:val="21"/>
              </w:rPr>
              <w:t>pH</w:t>
            </w:r>
          </w:p>
        </w:tc>
        <w:tc>
          <w:tcPr>
            <w:tcW w:w="762"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82" w:leftChars="-76" w:right="-202" w:rightChars="-84"/>
              <w:jc w:val="center"/>
              <w:rPr>
                <w:rFonts w:ascii="Times New Roman" w:hAnsi="Times New Roman"/>
                <w:sz w:val="21"/>
                <w:szCs w:val="21"/>
              </w:rPr>
            </w:pPr>
            <w:r>
              <w:rPr>
                <w:rFonts w:ascii="Times New Roman" w:hAnsi="Times New Roman"/>
                <w:sz w:val="21"/>
                <w:szCs w:val="21"/>
              </w:rPr>
              <w:t>COD</w:t>
            </w:r>
            <w:r>
              <w:rPr>
                <w:rFonts w:ascii="Times New Roman" w:hAnsi="Times New Roman"/>
                <w:sz w:val="21"/>
                <w:szCs w:val="21"/>
                <w:vertAlign w:val="subscript"/>
              </w:rPr>
              <w:t>C</w:t>
            </w:r>
            <w:r>
              <w:rPr>
                <w:rFonts w:hint="eastAsia" w:ascii="Times New Roman" w:hAnsi="Times New Roman"/>
                <w:sz w:val="21"/>
                <w:szCs w:val="21"/>
                <w:vertAlign w:val="subscript"/>
              </w:rPr>
              <w:t>r</w:t>
            </w:r>
          </w:p>
        </w:tc>
        <w:tc>
          <w:tcPr>
            <w:tcW w:w="767"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82" w:leftChars="-76" w:right="-202" w:rightChars="-84"/>
              <w:jc w:val="center"/>
              <w:rPr>
                <w:rFonts w:ascii="Times New Roman" w:hAnsi="Times New Roman"/>
                <w:sz w:val="21"/>
                <w:szCs w:val="21"/>
              </w:rPr>
            </w:pPr>
            <w:r>
              <w:rPr>
                <w:rFonts w:ascii="Times New Roman" w:hAnsi="Times New Roman"/>
                <w:sz w:val="21"/>
                <w:szCs w:val="21"/>
              </w:rPr>
              <w:t>BOD</w:t>
            </w:r>
            <w:r>
              <w:rPr>
                <w:rFonts w:ascii="Times New Roman" w:hAnsi="Times New Roman"/>
                <w:sz w:val="21"/>
                <w:szCs w:val="21"/>
                <w:vertAlign w:val="subscript"/>
              </w:rPr>
              <w:t>5</w:t>
            </w:r>
          </w:p>
        </w:tc>
        <w:tc>
          <w:tcPr>
            <w:tcW w:w="613"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82" w:leftChars="-76" w:right="-202" w:rightChars="-84"/>
              <w:jc w:val="center"/>
              <w:rPr>
                <w:rFonts w:ascii="Times New Roman" w:hAnsi="Times New Roman"/>
                <w:sz w:val="21"/>
                <w:szCs w:val="21"/>
              </w:rPr>
            </w:pPr>
            <w:r>
              <w:rPr>
                <w:rFonts w:ascii="Times New Roman" w:hAnsi="Times New Roman"/>
                <w:sz w:val="21"/>
                <w:szCs w:val="21"/>
              </w:rPr>
              <w:t>氨氮</w:t>
            </w:r>
          </w:p>
        </w:tc>
        <w:tc>
          <w:tcPr>
            <w:tcW w:w="613"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82" w:leftChars="-76" w:right="-202" w:rightChars="-84"/>
              <w:jc w:val="center"/>
              <w:rPr>
                <w:rFonts w:ascii="Times New Roman" w:hAnsi="Times New Roman"/>
                <w:sz w:val="21"/>
                <w:szCs w:val="21"/>
              </w:rPr>
            </w:pPr>
            <w:r>
              <w:rPr>
                <w:rFonts w:ascii="Times New Roman" w:hAnsi="Times New Roman"/>
                <w:sz w:val="21"/>
                <w:szCs w:val="21"/>
              </w:rPr>
              <w:t>SS</w:t>
            </w:r>
          </w:p>
        </w:tc>
        <w:tc>
          <w:tcPr>
            <w:tcW w:w="614"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82" w:leftChars="-76" w:right="-202" w:rightChars="-84"/>
              <w:jc w:val="center"/>
              <w:rPr>
                <w:rFonts w:ascii="Times New Roman" w:hAnsi="Times New Roman"/>
                <w:sz w:val="21"/>
                <w:szCs w:val="21"/>
              </w:rPr>
            </w:pPr>
            <w:r>
              <w:rPr>
                <w:rFonts w:hint="eastAsia" w:ascii="Times New Roman" w:hAnsi="Times New Roman"/>
                <w:sz w:val="21"/>
                <w:szCs w:val="21"/>
              </w:rPr>
              <w:t>L</w:t>
            </w:r>
            <w:r>
              <w:rPr>
                <w:rFonts w:ascii="Times New Roman" w:hAnsi="Times New Roman"/>
                <w:sz w:val="21"/>
                <w:szCs w:val="21"/>
              </w:rPr>
              <w:t>AS</w:t>
            </w:r>
          </w:p>
        </w:tc>
        <w:tc>
          <w:tcPr>
            <w:tcW w:w="690"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82" w:leftChars="-76" w:right="-202" w:rightChars="-84"/>
              <w:jc w:val="center"/>
              <w:rPr>
                <w:rFonts w:ascii="Times New Roman" w:hAnsi="Times New Roman"/>
                <w:sz w:val="21"/>
                <w:szCs w:val="21"/>
              </w:rPr>
            </w:pPr>
            <w:r>
              <w:rPr>
                <w:rFonts w:hint="eastAsia" w:ascii="Times New Roman" w:hAnsi="Times New Roman"/>
                <w:sz w:val="21"/>
                <w:szCs w:val="21"/>
              </w:rPr>
              <w:t>石油类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519"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82" w:leftChars="-76" w:right="-202" w:rightChars="-84"/>
              <w:jc w:val="center"/>
              <w:rPr>
                <w:rFonts w:ascii="Times New Roman" w:hAnsi="Times New Roman"/>
                <w:sz w:val="21"/>
                <w:szCs w:val="21"/>
              </w:rPr>
            </w:pPr>
            <w:r>
              <w:rPr>
                <w:rFonts w:ascii="Times New Roman" w:hAnsi="Times New Roman"/>
                <w:sz w:val="21"/>
                <w:szCs w:val="21"/>
              </w:rPr>
              <w:t>DB44/26-2001第二时段三级标准</w:t>
            </w:r>
          </w:p>
        </w:tc>
        <w:tc>
          <w:tcPr>
            <w:tcW w:w="615"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82" w:leftChars="-76" w:right="-202" w:rightChars="-84"/>
              <w:jc w:val="center"/>
              <w:rPr>
                <w:rFonts w:ascii="Times New Roman" w:hAnsi="Times New Roman"/>
                <w:sz w:val="21"/>
                <w:szCs w:val="21"/>
              </w:rPr>
            </w:pPr>
            <w:r>
              <w:rPr>
                <w:rFonts w:hint="eastAsia" w:ascii="Times New Roman" w:hAnsi="Times New Roman"/>
                <w:sz w:val="21"/>
                <w:szCs w:val="21"/>
              </w:rPr>
              <w:t>6</w:t>
            </w:r>
            <w:r>
              <w:rPr>
                <w:rFonts w:ascii="Times New Roman" w:hAnsi="Times New Roman"/>
                <w:sz w:val="21"/>
                <w:szCs w:val="21"/>
              </w:rPr>
              <w:t>~9</w:t>
            </w:r>
          </w:p>
        </w:tc>
        <w:tc>
          <w:tcPr>
            <w:tcW w:w="762"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82" w:leftChars="-76" w:right="-202" w:rightChars="-84"/>
              <w:jc w:val="center"/>
              <w:rPr>
                <w:rFonts w:ascii="Times New Roman" w:hAnsi="Times New Roman"/>
                <w:sz w:val="21"/>
                <w:szCs w:val="21"/>
              </w:rPr>
            </w:pPr>
            <w:r>
              <w:rPr>
                <w:rFonts w:hint="eastAsia" w:ascii="Times New Roman" w:hAnsi="Times New Roman"/>
                <w:sz w:val="21"/>
                <w:szCs w:val="21"/>
              </w:rPr>
              <w:t>≤5</w:t>
            </w:r>
            <w:r>
              <w:rPr>
                <w:rFonts w:ascii="Times New Roman" w:hAnsi="Times New Roman"/>
                <w:sz w:val="21"/>
                <w:szCs w:val="21"/>
              </w:rPr>
              <w:t>00</w:t>
            </w:r>
          </w:p>
        </w:tc>
        <w:tc>
          <w:tcPr>
            <w:tcW w:w="767"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82" w:leftChars="-76" w:right="-202" w:rightChars="-84"/>
              <w:jc w:val="center"/>
              <w:rPr>
                <w:rFonts w:ascii="Times New Roman" w:hAnsi="Times New Roman"/>
                <w:sz w:val="21"/>
                <w:szCs w:val="21"/>
              </w:rPr>
            </w:pPr>
            <w:r>
              <w:rPr>
                <w:rFonts w:hint="eastAsia" w:ascii="Times New Roman" w:hAnsi="Times New Roman"/>
                <w:sz w:val="21"/>
                <w:szCs w:val="21"/>
              </w:rPr>
              <w:t>≤3</w:t>
            </w:r>
            <w:r>
              <w:rPr>
                <w:rFonts w:ascii="Times New Roman" w:hAnsi="Times New Roman"/>
                <w:sz w:val="21"/>
                <w:szCs w:val="21"/>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82" w:leftChars="-76" w:right="-202" w:rightChars="-84"/>
              <w:jc w:val="center"/>
              <w:rPr>
                <w:rFonts w:ascii="Times New Roman" w:hAnsi="Times New Roman"/>
                <w:sz w:val="21"/>
                <w:szCs w:val="21"/>
              </w:rPr>
            </w:pPr>
            <w:r>
              <w:rPr>
                <w:rFonts w:hint="eastAsia" w:ascii="Times New Roman" w:hAnsi="Times New Roman"/>
                <w:sz w:val="21"/>
                <w:szCs w:val="21"/>
              </w:rPr>
              <w:t>-</w:t>
            </w:r>
            <w:r>
              <w:rPr>
                <w:rFonts w:ascii="Times New Roman" w:hAnsi="Times New Roman"/>
                <w:sz w:val="21"/>
                <w:szCs w:val="21"/>
              </w:rPr>
              <w:t>-</w:t>
            </w:r>
          </w:p>
        </w:tc>
        <w:tc>
          <w:tcPr>
            <w:tcW w:w="613"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82" w:leftChars="-76" w:right="-202" w:rightChars="-84"/>
              <w:jc w:val="center"/>
              <w:rPr>
                <w:rFonts w:ascii="Times New Roman" w:hAnsi="Times New Roman"/>
                <w:sz w:val="21"/>
                <w:szCs w:val="21"/>
              </w:rPr>
            </w:pPr>
            <w:r>
              <w:rPr>
                <w:rFonts w:hint="eastAsia" w:ascii="Times New Roman" w:hAnsi="Times New Roman"/>
                <w:sz w:val="21"/>
                <w:szCs w:val="21"/>
              </w:rPr>
              <w:t>≤4</w:t>
            </w:r>
            <w:r>
              <w:rPr>
                <w:rFonts w:ascii="Times New Roman" w:hAnsi="Times New Roman"/>
                <w:sz w:val="21"/>
                <w:szCs w:val="21"/>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82" w:leftChars="-76" w:right="-202" w:rightChars="-84"/>
              <w:jc w:val="center"/>
              <w:rPr>
                <w:rFonts w:ascii="Times New Roman" w:hAnsi="Times New Roman"/>
                <w:sz w:val="21"/>
                <w:szCs w:val="21"/>
              </w:rPr>
            </w:pPr>
            <w:r>
              <w:rPr>
                <w:rFonts w:hint="eastAsia" w:ascii="Times New Roman" w:hAnsi="Times New Roman"/>
                <w:sz w:val="21"/>
                <w:szCs w:val="21"/>
              </w:rPr>
              <w:t>≤2</w:t>
            </w:r>
            <w:r>
              <w:rPr>
                <w:rFonts w:ascii="Times New Roman" w:hAnsi="Times New Roman"/>
                <w:sz w:val="21"/>
                <w:szCs w:val="21"/>
              </w:rPr>
              <w:t>0</w:t>
            </w:r>
          </w:p>
        </w:tc>
        <w:tc>
          <w:tcPr>
            <w:tcW w:w="690"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82" w:leftChars="-76" w:right="-202" w:rightChars="-84"/>
              <w:jc w:val="center"/>
              <w:rPr>
                <w:rFonts w:ascii="Times New Roman" w:hAnsi="Times New Roman"/>
                <w:sz w:val="21"/>
                <w:szCs w:val="21"/>
              </w:rPr>
            </w:pPr>
            <w:r>
              <w:rPr>
                <w:rFonts w:hint="eastAsia" w:ascii="Times New Roman" w:hAnsi="Times New Roman"/>
                <w:sz w:val="21"/>
                <w:szCs w:val="21"/>
              </w:rPr>
              <w:t>≤2</w:t>
            </w:r>
            <w:r>
              <w:rPr>
                <w:rFonts w:ascii="Times New Roman" w:hAnsi="Times New Roman"/>
                <w:sz w:val="21"/>
                <w:szCs w:val="21"/>
              </w:rPr>
              <w:t>0</w:t>
            </w:r>
          </w:p>
        </w:tc>
      </w:tr>
    </w:tbl>
    <w:p>
      <w:pPr>
        <w:pStyle w:val="3"/>
      </w:pPr>
      <w:bookmarkStart w:id="67" w:name="_Toc31901"/>
      <w:r>
        <w:rPr>
          <w:rFonts w:hint="eastAsia"/>
        </w:rPr>
        <w:t>废气</w:t>
      </w:r>
      <w:bookmarkEnd w:id="67"/>
    </w:p>
    <w:p>
      <w:pPr>
        <w:ind w:firstLine="480"/>
      </w:pPr>
      <w:r>
        <w:rPr>
          <w:rFonts w:hint="eastAsia"/>
        </w:rPr>
        <w:t>本项目站界非甲烷总烃的无组织排放执行《加油站大气污染物排放标准》（GB20952-2020）的规定限值。</w:t>
      </w:r>
    </w:p>
    <w:p>
      <w:pPr>
        <w:ind w:firstLine="480"/>
      </w:pPr>
      <w:r>
        <w:rPr>
          <w:rFonts w:hint="eastAsia"/>
        </w:rPr>
        <w:t>项目机动车尾气排放执行广东省《大气污染物排放限值》（DB44/27-2001）第二时段无组织排放浓度监控限值。</w:t>
      </w:r>
    </w:p>
    <w:p>
      <w:pPr>
        <w:pStyle w:val="33"/>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6.2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 xml:space="preserve">本项目废气排放限值 </w:t>
      </w:r>
      <w:r>
        <w:t xml:space="preserve"> </w:t>
      </w:r>
      <w:r>
        <w:rPr>
          <w:rFonts w:hint="eastAsia"/>
        </w:rPr>
        <w:t>单位：</w:t>
      </w:r>
      <w:r>
        <w:t>mg/</w:t>
      </w:r>
      <w:r>
        <w:rPr>
          <w:rFonts w:hint="eastAsia"/>
        </w:rPr>
        <w:t>m³</w:t>
      </w:r>
    </w:p>
    <w:tbl>
      <w:tblPr>
        <w:tblStyle w:val="22"/>
        <w:tblW w:w="819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4"/>
        <w:gridCol w:w="1379"/>
        <w:gridCol w:w="1272"/>
        <w:gridCol w:w="2818"/>
        <w:gridCol w:w="678"/>
        <w:gridCol w:w="1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84"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jc w:val="center"/>
              <w:rPr>
                <w:rFonts w:ascii="Times New Roman" w:hAnsi="Times New Roman"/>
                <w:sz w:val="21"/>
                <w:szCs w:val="21"/>
              </w:rPr>
            </w:pPr>
            <w:r>
              <w:rPr>
                <w:rFonts w:ascii="Times New Roman" w:hAnsi="Times New Roman"/>
                <w:sz w:val="21"/>
                <w:szCs w:val="21"/>
              </w:rPr>
              <w:t>污染物</w:t>
            </w:r>
          </w:p>
        </w:tc>
        <w:tc>
          <w:tcPr>
            <w:tcW w:w="1379"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jc w:val="center"/>
              <w:rPr>
                <w:rFonts w:ascii="Times New Roman" w:hAnsi="Times New Roman"/>
                <w:sz w:val="21"/>
                <w:szCs w:val="21"/>
              </w:rPr>
            </w:pPr>
            <w:r>
              <w:rPr>
                <w:rFonts w:ascii="Times New Roman" w:hAnsi="Times New Roman"/>
                <w:sz w:val="21"/>
                <w:szCs w:val="21"/>
              </w:rPr>
              <w:t>污染源</w:t>
            </w:r>
          </w:p>
        </w:tc>
        <w:tc>
          <w:tcPr>
            <w:tcW w:w="1272"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38" w:leftChars="-16" w:right="-115" w:rightChars="-48"/>
              <w:jc w:val="center"/>
              <w:rPr>
                <w:rFonts w:ascii="Times New Roman" w:hAnsi="Times New Roman"/>
                <w:sz w:val="21"/>
                <w:szCs w:val="21"/>
              </w:rPr>
            </w:pPr>
            <w:r>
              <w:rPr>
                <w:rFonts w:ascii="Times New Roman" w:hAnsi="Times New Roman"/>
                <w:sz w:val="21"/>
                <w:szCs w:val="21"/>
              </w:rPr>
              <w:t>最高允许排放浓度mg/m³</w:t>
            </w:r>
          </w:p>
        </w:tc>
        <w:tc>
          <w:tcPr>
            <w:tcW w:w="3496" w:type="dxa"/>
            <w:gridSpan w:val="2"/>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ind w:left="-132" w:leftChars="-55" w:right="-86" w:rightChars="-36"/>
              <w:jc w:val="center"/>
              <w:rPr>
                <w:rFonts w:ascii="Times New Roman" w:hAnsi="Times New Roman"/>
                <w:sz w:val="21"/>
                <w:szCs w:val="21"/>
              </w:rPr>
            </w:pPr>
            <w:r>
              <w:rPr>
                <w:rFonts w:ascii="Times New Roman" w:hAnsi="Times New Roman"/>
                <w:sz w:val="21"/>
                <w:szCs w:val="21"/>
              </w:rPr>
              <w:t>无组织排放限值mg/m³</w:t>
            </w:r>
          </w:p>
        </w:tc>
        <w:tc>
          <w:tcPr>
            <w:tcW w:w="1162" w:type="dxa"/>
            <w:tcBorders>
              <w:top w:val="single" w:color="auto" w:sz="4" w:space="0"/>
              <w:left w:val="single" w:color="auto" w:sz="4" w:space="0"/>
              <w:bottom w:val="single" w:color="auto" w:sz="4" w:space="0"/>
              <w:right w:val="single" w:color="auto" w:sz="4" w:space="0"/>
            </w:tcBorders>
            <w:vAlign w:val="center"/>
          </w:tcPr>
          <w:p>
            <w:pPr>
              <w:pStyle w:val="17"/>
              <w:widowControl w:val="0"/>
              <w:snapToGrid w:val="0"/>
              <w:spacing w:before="0" w:beforeAutospacing="0" w:after="0" w:afterAutospacing="0"/>
              <w:jc w:val="center"/>
              <w:rPr>
                <w:rFonts w:ascii="Times New Roman" w:hAnsi="Times New Roman"/>
                <w:sz w:val="21"/>
                <w:szCs w:val="21"/>
              </w:rPr>
            </w:pPr>
            <w:r>
              <w:rPr>
                <w:rFonts w:ascii="Times New Roman" w:hAnsi="Times New Roman"/>
                <w:sz w:val="21"/>
                <w:szCs w:val="21"/>
              </w:rPr>
              <w:t>排放标准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84" w:type="dxa"/>
            <w:tcBorders>
              <w:top w:val="single" w:color="auto" w:sz="4" w:space="0"/>
              <w:left w:val="single" w:color="auto" w:sz="4" w:space="0"/>
              <w:right w:val="single" w:color="auto" w:sz="4" w:space="0"/>
            </w:tcBorders>
            <w:vAlign w:val="center"/>
          </w:tcPr>
          <w:p>
            <w:pPr>
              <w:pStyle w:val="17"/>
              <w:widowControl w:val="0"/>
              <w:snapToGrid w:val="0"/>
              <w:spacing w:before="0" w:beforeAutospacing="0" w:after="0" w:afterAutospacing="0"/>
              <w:jc w:val="center"/>
              <w:rPr>
                <w:rFonts w:ascii="Times New Roman" w:hAnsi="Times New Roman"/>
                <w:sz w:val="21"/>
                <w:szCs w:val="21"/>
              </w:rPr>
            </w:pPr>
            <w:r>
              <w:rPr>
                <w:rFonts w:hint="eastAsia" w:ascii="Times New Roman" w:hAnsi="Times New Roman"/>
                <w:sz w:val="21"/>
                <w:szCs w:val="21"/>
              </w:rPr>
              <w:t>非甲烷总烃</w:t>
            </w:r>
          </w:p>
        </w:tc>
        <w:tc>
          <w:tcPr>
            <w:tcW w:w="1379" w:type="dxa"/>
            <w:tcBorders>
              <w:top w:val="single" w:color="auto" w:sz="4" w:space="0"/>
              <w:left w:val="single" w:color="auto" w:sz="4" w:space="0"/>
              <w:right w:val="single" w:color="auto" w:sz="4" w:space="0"/>
            </w:tcBorders>
            <w:vAlign w:val="center"/>
          </w:tcPr>
          <w:p>
            <w:pPr>
              <w:pStyle w:val="17"/>
              <w:snapToGrid w:val="0"/>
              <w:jc w:val="center"/>
              <w:rPr>
                <w:rFonts w:ascii="Times New Roman" w:hAnsi="Times New Roman"/>
                <w:sz w:val="21"/>
                <w:szCs w:val="21"/>
              </w:rPr>
            </w:pPr>
            <w:r>
              <w:rPr>
                <w:rFonts w:hint="eastAsia" w:ascii="Times New Roman" w:hAnsi="Times New Roman"/>
                <w:sz w:val="21"/>
                <w:szCs w:val="21"/>
              </w:rPr>
              <w:t>站界</w:t>
            </w:r>
          </w:p>
        </w:tc>
        <w:tc>
          <w:tcPr>
            <w:tcW w:w="1272" w:type="dxa"/>
            <w:tcBorders>
              <w:top w:val="single" w:color="auto" w:sz="4" w:space="0"/>
              <w:left w:val="single" w:color="auto" w:sz="4" w:space="0"/>
              <w:right w:val="single" w:color="auto" w:sz="4" w:space="0"/>
            </w:tcBorders>
            <w:vAlign w:val="center"/>
          </w:tcPr>
          <w:p>
            <w:pPr>
              <w:pStyle w:val="17"/>
              <w:widowControl w:val="0"/>
              <w:snapToGrid w:val="0"/>
              <w:spacing w:before="0" w:beforeAutospacing="0" w:after="0" w:afterAutospacing="0"/>
              <w:jc w:val="center"/>
              <w:rPr>
                <w:rFonts w:ascii="Times New Roman" w:hAnsi="Times New Roman"/>
                <w:sz w:val="21"/>
                <w:szCs w:val="21"/>
              </w:rPr>
            </w:pPr>
            <w:r>
              <w:rPr>
                <w:rFonts w:ascii="Times New Roman" w:hAnsi="Times New Roman"/>
                <w:sz w:val="21"/>
                <w:szCs w:val="21"/>
              </w:rPr>
              <w:t>/</w:t>
            </w:r>
          </w:p>
        </w:tc>
        <w:tc>
          <w:tcPr>
            <w:tcW w:w="2818" w:type="dxa"/>
            <w:tcBorders>
              <w:top w:val="single" w:color="auto" w:sz="4" w:space="0"/>
              <w:left w:val="single" w:color="auto" w:sz="4" w:space="0"/>
              <w:right w:val="single" w:color="auto" w:sz="4" w:space="0"/>
            </w:tcBorders>
            <w:vAlign w:val="center"/>
          </w:tcPr>
          <w:p>
            <w:pPr>
              <w:pStyle w:val="17"/>
              <w:snapToGrid w:val="0"/>
              <w:jc w:val="center"/>
              <w:rPr>
                <w:rFonts w:ascii="Times New Roman" w:hAnsi="Times New Roman"/>
                <w:bCs/>
                <w:sz w:val="21"/>
                <w:szCs w:val="21"/>
              </w:rPr>
            </w:pPr>
            <w:r>
              <w:rPr>
                <w:rFonts w:ascii="Times New Roman" w:hAnsi="Times New Roman"/>
                <w:bCs/>
                <w:sz w:val="21"/>
                <w:szCs w:val="21"/>
              </w:rPr>
              <w:t>监控点处1小时平均浓度值</w:t>
            </w:r>
          </w:p>
        </w:tc>
        <w:tc>
          <w:tcPr>
            <w:tcW w:w="678" w:type="dxa"/>
            <w:tcBorders>
              <w:top w:val="single" w:color="auto" w:sz="4" w:space="0"/>
              <w:left w:val="single" w:color="auto" w:sz="4" w:space="0"/>
              <w:right w:val="single" w:color="auto" w:sz="4" w:space="0"/>
            </w:tcBorders>
            <w:vAlign w:val="center"/>
          </w:tcPr>
          <w:p>
            <w:pPr>
              <w:pStyle w:val="17"/>
              <w:widowControl w:val="0"/>
              <w:snapToGrid w:val="0"/>
              <w:spacing w:before="0" w:beforeAutospacing="0" w:after="0" w:afterAutospacing="0"/>
              <w:ind w:left="-132" w:leftChars="-55" w:right="-86" w:rightChars="-36"/>
              <w:jc w:val="center"/>
              <w:rPr>
                <w:rFonts w:ascii="Times New Roman" w:hAnsi="Times New Roman"/>
                <w:sz w:val="21"/>
                <w:szCs w:val="21"/>
              </w:rPr>
            </w:pPr>
            <w:r>
              <w:rPr>
                <w:rFonts w:ascii="Times New Roman" w:hAnsi="Times New Roman"/>
                <w:sz w:val="21"/>
                <w:szCs w:val="21"/>
              </w:rPr>
              <w:t>4.0</w:t>
            </w:r>
          </w:p>
        </w:tc>
        <w:tc>
          <w:tcPr>
            <w:tcW w:w="1162" w:type="dxa"/>
            <w:tcBorders>
              <w:left w:val="single" w:color="auto" w:sz="4" w:space="0"/>
              <w:right w:val="single" w:color="auto" w:sz="4" w:space="0"/>
            </w:tcBorders>
            <w:vAlign w:val="center"/>
          </w:tcPr>
          <w:p>
            <w:pPr>
              <w:pStyle w:val="17"/>
              <w:widowControl w:val="0"/>
              <w:snapToGrid w:val="0"/>
              <w:spacing w:before="0" w:beforeAutospacing="0" w:after="0"/>
              <w:ind w:left="-156" w:leftChars="-65" w:right="-113" w:rightChars="-47"/>
              <w:jc w:val="center"/>
              <w:rPr>
                <w:rFonts w:ascii="Times New Roman" w:hAnsi="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84" w:type="dxa"/>
            <w:tcBorders>
              <w:top w:val="single" w:color="auto" w:sz="4" w:space="0"/>
              <w:left w:val="single" w:color="auto" w:sz="4" w:space="0"/>
              <w:right w:val="single" w:color="auto" w:sz="4" w:space="0"/>
            </w:tcBorders>
            <w:vAlign w:val="center"/>
          </w:tcPr>
          <w:p>
            <w:pPr>
              <w:pStyle w:val="17"/>
              <w:widowControl w:val="0"/>
              <w:snapToGrid w:val="0"/>
              <w:spacing w:before="0" w:beforeAutospacing="0" w:after="0" w:afterAutospacing="0"/>
              <w:ind w:left="-122" w:leftChars="-51" w:right="-77" w:rightChars="-32"/>
              <w:jc w:val="center"/>
              <w:rPr>
                <w:rFonts w:ascii="Times New Roman" w:hAnsi="Times New Roman"/>
                <w:sz w:val="21"/>
                <w:szCs w:val="21"/>
              </w:rPr>
            </w:pPr>
            <w:r>
              <w:rPr>
                <w:rFonts w:ascii="Times New Roman" w:hAnsi="Times New Roman"/>
                <w:sz w:val="21"/>
                <w:szCs w:val="21"/>
              </w:rPr>
              <w:t>TSP</w:t>
            </w:r>
          </w:p>
        </w:tc>
        <w:tc>
          <w:tcPr>
            <w:tcW w:w="1379" w:type="dxa"/>
            <w:vMerge w:val="restart"/>
            <w:tcBorders>
              <w:left w:val="single" w:color="auto" w:sz="4" w:space="0"/>
              <w:right w:val="single" w:color="auto" w:sz="4" w:space="0"/>
            </w:tcBorders>
            <w:vAlign w:val="center"/>
          </w:tcPr>
          <w:p>
            <w:pPr>
              <w:pStyle w:val="17"/>
              <w:widowControl w:val="0"/>
              <w:snapToGrid w:val="0"/>
              <w:spacing w:before="0" w:beforeAutospacing="0" w:after="0" w:afterAutospacing="0"/>
              <w:jc w:val="center"/>
              <w:rPr>
                <w:rFonts w:ascii="Times New Roman" w:hAnsi="Times New Roman"/>
                <w:sz w:val="21"/>
                <w:szCs w:val="21"/>
              </w:rPr>
            </w:pPr>
            <w:r>
              <w:rPr>
                <w:rFonts w:hint="eastAsia" w:ascii="Times New Roman" w:hAnsi="Times New Roman"/>
                <w:sz w:val="21"/>
                <w:szCs w:val="21"/>
              </w:rPr>
              <w:t>车辆</w:t>
            </w:r>
          </w:p>
        </w:tc>
        <w:tc>
          <w:tcPr>
            <w:tcW w:w="1272" w:type="dxa"/>
            <w:tcBorders>
              <w:top w:val="single" w:color="auto" w:sz="4" w:space="0"/>
              <w:left w:val="single" w:color="auto" w:sz="4" w:space="0"/>
              <w:right w:val="single" w:color="auto" w:sz="4" w:space="0"/>
            </w:tcBorders>
            <w:vAlign w:val="center"/>
          </w:tcPr>
          <w:p>
            <w:pPr>
              <w:pStyle w:val="17"/>
              <w:widowControl w:val="0"/>
              <w:snapToGrid w:val="0"/>
              <w:spacing w:before="0" w:beforeAutospacing="0" w:after="0" w:afterAutospacing="0"/>
              <w:jc w:val="center"/>
              <w:rPr>
                <w:rFonts w:ascii="Times New Roman" w:hAnsi="Times New Roman"/>
                <w:sz w:val="21"/>
                <w:szCs w:val="21"/>
              </w:rPr>
            </w:pPr>
            <w:r>
              <w:rPr>
                <w:rFonts w:ascii="Times New Roman" w:hAnsi="Times New Roman"/>
                <w:sz w:val="21"/>
                <w:szCs w:val="21"/>
              </w:rPr>
              <w:t>/</w:t>
            </w:r>
          </w:p>
        </w:tc>
        <w:tc>
          <w:tcPr>
            <w:tcW w:w="2818" w:type="dxa"/>
            <w:vMerge w:val="restart"/>
            <w:tcBorders>
              <w:top w:val="single" w:color="auto" w:sz="4" w:space="0"/>
              <w:left w:val="single" w:color="auto" w:sz="4" w:space="0"/>
              <w:right w:val="single" w:color="auto" w:sz="4" w:space="0"/>
            </w:tcBorders>
            <w:vAlign w:val="center"/>
          </w:tcPr>
          <w:p>
            <w:pPr>
              <w:pStyle w:val="17"/>
              <w:snapToGrid w:val="0"/>
              <w:jc w:val="center"/>
              <w:rPr>
                <w:rFonts w:ascii="Times New Roman" w:hAnsi="Times New Roman"/>
                <w:sz w:val="21"/>
                <w:szCs w:val="21"/>
              </w:rPr>
            </w:pPr>
            <w:r>
              <w:rPr>
                <w:rFonts w:ascii="Times New Roman" w:hAnsi="Times New Roman"/>
                <w:sz w:val="21"/>
                <w:szCs w:val="21"/>
              </w:rPr>
              <w:t>厂界外浓度最高点</w:t>
            </w:r>
          </w:p>
        </w:tc>
        <w:tc>
          <w:tcPr>
            <w:tcW w:w="678" w:type="dxa"/>
            <w:tcBorders>
              <w:top w:val="single" w:color="auto" w:sz="4" w:space="0"/>
              <w:left w:val="single" w:color="auto" w:sz="4" w:space="0"/>
              <w:right w:val="single" w:color="auto" w:sz="4" w:space="0"/>
            </w:tcBorders>
            <w:vAlign w:val="center"/>
          </w:tcPr>
          <w:p>
            <w:pPr>
              <w:pStyle w:val="17"/>
              <w:widowControl w:val="0"/>
              <w:snapToGrid w:val="0"/>
              <w:spacing w:before="0" w:beforeAutospacing="0" w:after="0" w:afterAutospacing="0"/>
              <w:ind w:left="-132" w:leftChars="-55" w:right="-86" w:rightChars="-36"/>
              <w:jc w:val="center"/>
              <w:rPr>
                <w:rFonts w:ascii="Times New Roman" w:hAnsi="Times New Roman"/>
                <w:sz w:val="21"/>
                <w:szCs w:val="21"/>
              </w:rPr>
            </w:pPr>
            <w:r>
              <w:rPr>
                <w:rFonts w:ascii="Times New Roman" w:hAnsi="Times New Roman"/>
                <w:sz w:val="21"/>
                <w:szCs w:val="21"/>
              </w:rPr>
              <w:t>1.0</w:t>
            </w:r>
          </w:p>
        </w:tc>
        <w:tc>
          <w:tcPr>
            <w:tcW w:w="1162" w:type="dxa"/>
            <w:vMerge w:val="restart"/>
            <w:tcBorders>
              <w:top w:val="single" w:color="auto" w:sz="4" w:space="0"/>
              <w:left w:val="single" w:color="auto" w:sz="4" w:space="0"/>
              <w:right w:val="single" w:color="auto" w:sz="4" w:space="0"/>
            </w:tcBorders>
            <w:vAlign w:val="center"/>
          </w:tcPr>
          <w:p>
            <w:pPr>
              <w:pStyle w:val="17"/>
              <w:widowControl w:val="0"/>
              <w:snapToGrid w:val="0"/>
              <w:spacing w:before="0" w:beforeAutospacing="0" w:after="0" w:afterAutospacing="0"/>
              <w:ind w:left="-156" w:leftChars="-65" w:right="-113" w:rightChars="-47"/>
              <w:jc w:val="center"/>
              <w:rPr>
                <w:rFonts w:ascii="Times New Roman" w:hAnsi="Times New Roman"/>
                <w:sz w:val="21"/>
                <w:szCs w:val="21"/>
              </w:rPr>
            </w:pPr>
            <w:r>
              <w:rPr>
                <w:rFonts w:ascii="Times New Roman" w:hAnsi="Times New Roman"/>
                <w:sz w:val="21"/>
                <w:szCs w:val="21"/>
              </w:rPr>
              <w:t>DB44/27-2001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84" w:type="dxa"/>
            <w:tcBorders>
              <w:top w:val="single" w:color="auto" w:sz="4" w:space="0"/>
              <w:left w:val="single" w:color="auto" w:sz="4" w:space="0"/>
              <w:right w:val="single" w:color="auto" w:sz="4" w:space="0"/>
            </w:tcBorders>
            <w:vAlign w:val="center"/>
          </w:tcPr>
          <w:p>
            <w:pPr>
              <w:pStyle w:val="17"/>
              <w:widowControl w:val="0"/>
              <w:snapToGrid w:val="0"/>
              <w:spacing w:before="0" w:beforeAutospacing="0" w:after="0" w:afterAutospacing="0"/>
              <w:jc w:val="center"/>
              <w:rPr>
                <w:rFonts w:ascii="Times New Roman" w:hAnsi="Times New Roman"/>
                <w:sz w:val="21"/>
                <w:szCs w:val="21"/>
              </w:rPr>
            </w:pPr>
            <w:r>
              <w:rPr>
                <w:rFonts w:hint="eastAsia" w:ascii="Times New Roman" w:hAnsi="Times New Roman"/>
                <w:sz w:val="21"/>
                <w:szCs w:val="21"/>
              </w:rPr>
              <w:t>C</w:t>
            </w:r>
            <w:r>
              <w:rPr>
                <w:rFonts w:ascii="Times New Roman" w:hAnsi="Times New Roman"/>
                <w:sz w:val="21"/>
                <w:szCs w:val="21"/>
              </w:rPr>
              <w:t>O</w:t>
            </w:r>
          </w:p>
        </w:tc>
        <w:tc>
          <w:tcPr>
            <w:tcW w:w="1379" w:type="dxa"/>
            <w:vMerge w:val="continue"/>
            <w:tcBorders>
              <w:left w:val="single" w:color="auto" w:sz="4" w:space="0"/>
              <w:right w:val="single" w:color="auto" w:sz="4" w:space="0"/>
            </w:tcBorders>
            <w:vAlign w:val="center"/>
          </w:tcPr>
          <w:p>
            <w:pPr>
              <w:pStyle w:val="17"/>
              <w:widowControl w:val="0"/>
              <w:snapToGrid w:val="0"/>
              <w:spacing w:before="0" w:beforeAutospacing="0" w:after="0" w:afterAutospacing="0"/>
              <w:jc w:val="center"/>
              <w:rPr>
                <w:rFonts w:ascii="Times New Roman" w:hAnsi="Times New Roman"/>
                <w:sz w:val="21"/>
                <w:szCs w:val="21"/>
              </w:rPr>
            </w:pPr>
          </w:p>
        </w:tc>
        <w:tc>
          <w:tcPr>
            <w:tcW w:w="1272" w:type="dxa"/>
            <w:tcBorders>
              <w:left w:val="single" w:color="auto" w:sz="4" w:space="0"/>
              <w:right w:val="single" w:color="auto" w:sz="4" w:space="0"/>
            </w:tcBorders>
            <w:vAlign w:val="center"/>
          </w:tcPr>
          <w:p>
            <w:pPr>
              <w:pStyle w:val="17"/>
              <w:widowControl w:val="0"/>
              <w:snapToGrid w:val="0"/>
              <w:spacing w:before="0" w:beforeAutospacing="0" w:after="0"/>
              <w:jc w:val="center"/>
              <w:rPr>
                <w:rFonts w:ascii="Times New Roman" w:hAnsi="Times New Roman"/>
                <w:bCs/>
                <w:sz w:val="21"/>
                <w:szCs w:val="21"/>
              </w:rPr>
            </w:pPr>
            <w:r>
              <w:rPr>
                <w:rFonts w:ascii="Times New Roman" w:hAnsi="Times New Roman"/>
                <w:bCs/>
                <w:sz w:val="21"/>
                <w:szCs w:val="21"/>
              </w:rPr>
              <w:t>/</w:t>
            </w:r>
          </w:p>
        </w:tc>
        <w:tc>
          <w:tcPr>
            <w:tcW w:w="2818" w:type="dxa"/>
            <w:vMerge w:val="continue"/>
            <w:tcBorders>
              <w:left w:val="single" w:color="auto" w:sz="4" w:space="0"/>
              <w:right w:val="single" w:color="auto" w:sz="4" w:space="0"/>
            </w:tcBorders>
            <w:vAlign w:val="center"/>
          </w:tcPr>
          <w:p>
            <w:pPr>
              <w:pStyle w:val="17"/>
              <w:widowControl w:val="0"/>
              <w:snapToGrid w:val="0"/>
              <w:spacing w:before="0" w:after="0"/>
              <w:jc w:val="center"/>
              <w:rPr>
                <w:rFonts w:ascii="Times New Roman" w:hAnsi="Times New Roman"/>
                <w:bCs/>
                <w:sz w:val="21"/>
                <w:szCs w:val="21"/>
              </w:rPr>
            </w:pPr>
          </w:p>
        </w:tc>
        <w:tc>
          <w:tcPr>
            <w:tcW w:w="678" w:type="dxa"/>
            <w:tcBorders>
              <w:left w:val="single" w:color="auto" w:sz="4" w:space="0"/>
              <w:right w:val="single" w:color="auto" w:sz="4" w:space="0"/>
            </w:tcBorders>
            <w:vAlign w:val="center"/>
          </w:tcPr>
          <w:p>
            <w:pPr>
              <w:pStyle w:val="17"/>
              <w:widowControl w:val="0"/>
              <w:snapToGrid w:val="0"/>
              <w:spacing w:before="0" w:beforeAutospacing="0" w:after="0"/>
              <w:ind w:left="-132" w:leftChars="-55" w:right="-86" w:rightChars="-36"/>
              <w:jc w:val="center"/>
              <w:rPr>
                <w:rFonts w:ascii="Times New Roman" w:hAnsi="Times New Roman"/>
                <w:bCs/>
                <w:sz w:val="21"/>
                <w:szCs w:val="21"/>
              </w:rPr>
            </w:pPr>
            <w:r>
              <w:rPr>
                <w:rFonts w:ascii="Times New Roman" w:hAnsi="Times New Roman"/>
                <w:bCs/>
                <w:sz w:val="21"/>
                <w:szCs w:val="21"/>
              </w:rPr>
              <w:t>8</w:t>
            </w:r>
          </w:p>
        </w:tc>
        <w:tc>
          <w:tcPr>
            <w:tcW w:w="1162" w:type="dxa"/>
            <w:vMerge w:val="continue"/>
            <w:tcBorders>
              <w:left w:val="single" w:color="auto" w:sz="4" w:space="0"/>
              <w:right w:val="single" w:color="auto" w:sz="4" w:space="0"/>
            </w:tcBorders>
            <w:vAlign w:val="center"/>
          </w:tcPr>
          <w:p>
            <w:pPr>
              <w:pStyle w:val="17"/>
              <w:widowControl w:val="0"/>
              <w:snapToGrid w:val="0"/>
              <w:spacing w:before="0" w:beforeAutospacing="0" w:after="0"/>
              <w:ind w:left="-156" w:leftChars="-65" w:right="-113" w:rightChars="-47"/>
              <w:jc w:val="center"/>
              <w:rPr>
                <w:rFonts w:ascii="Times New Roman" w:hAnsi="Times New Roman"/>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84" w:type="dxa"/>
            <w:tcBorders>
              <w:left w:val="single" w:color="auto" w:sz="4" w:space="0"/>
              <w:right w:val="single" w:color="auto" w:sz="4" w:space="0"/>
            </w:tcBorders>
            <w:vAlign w:val="center"/>
          </w:tcPr>
          <w:p>
            <w:pPr>
              <w:pStyle w:val="17"/>
              <w:widowControl w:val="0"/>
              <w:snapToGrid w:val="0"/>
              <w:spacing w:before="0" w:beforeAutospacing="0" w:after="0" w:afterAutospacing="0"/>
              <w:jc w:val="center"/>
              <w:rPr>
                <w:rFonts w:ascii="Times New Roman" w:hAnsi="Times New Roman"/>
                <w:sz w:val="21"/>
                <w:szCs w:val="21"/>
              </w:rPr>
            </w:pPr>
            <w:r>
              <w:rPr>
                <w:rFonts w:ascii="Times New Roman" w:hAnsi="Times New Roman"/>
                <w:sz w:val="21"/>
                <w:szCs w:val="21"/>
              </w:rPr>
              <w:t>NO</w:t>
            </w:r>
            <w:r>
              <w:rPr>
                <w:rFonts w:ascii="Times New Roman" w:hAnsi="Times New Roman"/>
                <w:sz w:val="21"/>
                <w:szCs w:val="21"/>
                <w:vertAlign w:val="subscript"/>
              </w:rPr>
              <w:t>X</w:t>
            </w:r>
          </w:p>
        </w:tc>
        <w:tc>
          <w:tcPr>
            <w:tcW w:w="1379" w:type="dxa"/>
            <w:vMerge w:val="continue"/>
            <w:tcBorders>
              <w:left w:val="single" w:color="auto" w:sz="4" w:space="0"/>
              <w:right w:val="single" w:color="auto" w:sz="4" w:space="0"/>
            </w:tcBorders>
            <w:vAlign w:val="center"/>
          </w:tcPr>
          <w:p>
            <w:pPr>
              <w:pStyle w:val="17"/>
              <w:widowControl w:val="0"/>
              <w:snapToGrid w:val="0"/>
              <w:spacing w:before="0" w:beforeAutospacing="0" w:after="0" w:afterAutospacing="0"/>
              <w:jc w:val="center"/>
              <w:rPr>
                <w:rFonts w:ascii="Times New Roman" w:hAnsi="Times New Roman"/>
                <w:sz w:val="21"/>
                <w:szCs w:val="21"/>
              </w:rPr>
            </w:pPr>
          </w:p>
        </w:tc>
        <w:tc>
          <w:tcPr>
            <w:tcW w:w="1272" w:type="dxa"/>
            <w:tcBorders>
              <w:left w:val="single" w:color="auto" w:sz="4" w:space="0"/>
              <w:right w:val="single" w:color="auto" w:sz="4" w:space="0"/>
            </w:tcBorders>
            <w:vAlign w:val="center"/>
          </w:tcPr>
          <w:p>
            <w:pPr>
              <w:pStyle w:val="17"/>
              <w:widowControl w:val="0"/>
              <w:snapToGrid w:val="0"/>
              <w:spacing w:before="0" w:beforeAutospacing="0" w:after="0"/>
              <w:jc w:val="center"/>
              <w:rPr>
                <w:rFonts w:ascii="Times New Roman" w:hAnsi="Times New Roman"/>
                <w:bCs/>
                <w:sz w:val="21"/>
                <w:szCs w:val="21"/>
              </w:rPr>
            </w:pPr>
            <w:r>
              <w:rPr>
                <w:rFonts w:ascii="Times New Roman" w:hAnsi="Times New Roman"/>
                <w:bCs/>
                <w:sz w:val="21"/>
                <w:szCs w:val="21"/>
              </w:rPr>
              <w:t>/</w:t>
            </w:r>
          </w:p>
        </w:tc>
        <w:tc>
          <w:tcPr>
            <w:tcW w:w="2818" w:type="dxa"/>
            <w:vMerge w:val="continue"/>
            <w:tcBorders>
              <w:left w:val="single" w:color="auto" w:sz="4" w:space="0"/>
              <w:right w:val="single" w:color="auto" w:sz="4" w:space="0"/>
            </w:tcBorders>
            <w:vAlign w:val="center"/>
          </w:tcPr>
          <w:p>
            <w:pPr>
              <w:pStyle w:val="17"/>
              <w:widowControl w:val="0"/>
              <w:snapToGrid w:val="0"/>
              <w:spacing w:before="0" w:beforeAutospacing="0" w:after="0"/>
              <w:jc w:val="center"/>
              <w:rPr>
                <w:rFonts w:ascii="Times New Roman" w:hAnsi="Times New Roman"/>
                <w:bCs/>
                <w:sz w:val="21"/>
                <w:szCs w:val="21"/>
              </w:rPr>
            </w:pPr>
          </w:p>
        </w:tc>
        <w:tc>
          <w:tcPr>
            <w:tcW w:w="678" w:type="dxa"/>
            <w:tcBorders>
              <w:left w:val="single" w:color="auto" w:sz="4" w:space="0"/>
              <w:right w:val="single" w:color="auto" w:sz="4" w:space="0"/>
            </w:tcBorders>
            <w:vAlign w:val="center"/>
          </w:tcPr>
          <w:p>
            <w:pPr>
              <w:pStyle w:val="17"/>
              <w:widowControl w:val="0"/>
              <w:snapToGrid w:val="0"/>
              <w:spacing w:before="0" w:beforeAutospacing="0" w:after="0"/>
              <w:ind w:left="-132" w:leftChars="-55" w:right="-86" w:rightChars="-36"/>
              <w:jc w:val="center"/>
              <w:rPr>
                <w:rFonts w:ascii="Times New Roman" w:hAnsi="Times New Roman"/>
                <w:bCs/>
                <w:sz w:val="21"/>
                <w:szCs w:val="21"/>
              </w:rPr>
            </w:pPr>
            <w:r>
              <w:rPr>
                <w:rFonts w:ascii="Times New Roman" w:hAnsi="Times New Roman"/>
                <w:bCs/>
                <w:sz w:val="21"/>
                <w:szCs w:val="21"/>
              </w:rPr>
              <w:t>0.12</w:t>
            </w:r>
          </w:p>
        </w:tc>
        <w:tc>
          <w:tcPr>
            <w:tcW w:w="1162" w:type="dxa"/>
            <w:vMerge w:val="continue"/>
            <w:tcBorders>
              <w:left w:val="single" w:color="auto" w:sz="4" w:space="0"/>
              <w:right w:val="single" w:color="auto" w:sz="4" w:space="0"/>
            </w:tcBorders>
            <w:vAlign w:val="center"/>
          </w:tcPr>
          <w:p>
            <w:pPr>
              <w:pStyle w:val="17"/>
              <w:widowControl w:val="0"/>
              <w:snapToGrid w:val="0"/>
              <w:spacing w:before="0" w:beforeAutospacing="0" w:after="0"/>
              <w:jc w:val="center"/>
              <w:rPr>
                <w:rFonts w:ascii="Times New Roman" w:hAnsi="Times New Roman"/>
                <w:bCs/>
                <w:sz w:val="21"/>
                <w:szCs w:val="21"/>
              </w:rPr>
            </w:pPr>
          </w:p>
        </w:tc>
      </w:tr>
    </w:tbl>
    <w:p>
      <w:pPr>
        <w:ind w:firstLine="480"/>
        <w:rPr>
          <w:rFonts w:cs="Times New Roman"/>
        </w:rPr>
      </w:pPr>
      <w:r>
        <w:rPr>
          <w:rFonts w:cs="Times New Roman"/>
          <w:color w:val="000000" w:themeColor="text1"/>
          <w14:textFill>
            <w14:solidFill>
              <w14:schemeClr w14:val="tx1"/>
            </w14:solidFill>
          </w14:textFill>
        </w:rPr>
        <w:t>厂区内无组织有机废气执行《挥发性有机物无组织排放控制标准》（GB37822-2019）附录A.1中的无组织特别排放限值。</w:t>
      </w:r>
    </w:p>
    <w:p>
      <w:pPr>
        <w:pStyle w:val="58"/>
        <w:spacing w:before="156"/>
        <w:ind w:left="480" w:firstLine="422" w:firstLineChars="200"/>
        <w:rPr>
          <w:rFonts w:hint="default" w:cs="Times New Roman"/>
        </w:rPr>
      </w:pPr>
      <w:r>
        <w:rPr>
          <w:rFonts w:hint="default" w:cs="Times New Roman"/>
        </w:rPr>
        <w:t>表</w:t>
      </w:r>
      <w:r>
        <w:rPr>
          <w:rFonts w:cs="Times New Roman"/>
        </w:rPr>
        <w:t>6.2-2</w:t>
      </w:r>
      <w:r>
        <w:rPr>
          <w:rFonts w:hint="default" w:cs="Times New Roman"/>
        </w:rPr>
        <w:t>挥发性有机物无组织特别排放控制标准</w:t>
      </w:r>
    </w:p>
    <w:tbl>
      <w:tblPr>
        <w:tblStyle w:val="2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01"/>
        <w:gridCol w:w="2360"/>
        <w:gridCol w:w="3100"/>
        <w:gridCol w:w="15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501" w:type="dxa"/>
            <w:vAlign w:val="center"/>
          </w:tcPr>
          <w:p>
            <w:pPr>
              <w:pStyle w:val="56"/>
              <w:rPr>
                <w:rFonts w:cs="Times New Roman"/>
              </w:rPr>
            </w:pPr>
            <w:r>
              <w:rPr>
                <w:rFonts w:cs="Times New Roman"/>
              </w:rPr>
              <w:t>污染物</w:t>
            </w:r>
          </w:p>
        </w:tc>
        <w:tc>
          <w:tcPr>
            <w:tcW w:w="2360" w:type="dxa"/>
            <w:vAlign w:val="center"/>
          </w:tcPr>
          <w:p>
            <w:pPr>
              <w:pStyle w:val="56"/>
              <w:rPr>
                <w:rFonts w:cs="Times New Roman"/>
              </w:rPr>
            </w:pPr>
            <w:r>
              <w:rPr>
                <w:rFonts w:cs="Times New Roman"/>
              </w:rPr>
              <w:t>特别排放浓度（mg/m</w:t>
            </w:r>
            <w:r>
              <w:rPr>
                <w:rFonts w:cs="Times New Roman"/>
                <w:vertAlign w:val="superscript"/>
              </w:rPr>
              <w:t>3</w:t>
            </w:r>
            <w:r>
              <w:rPr>
                <w:rFonts w:cs="Times New Roman"/>
              </w:rPr>
              <w:t>）</w:t>
            </w:r>
          </w:p>
        </w:tc>
        <w:tc>
          <w:tcPr>
            <w:tcW w:w="3100" w:type="dxa"/>
            <w:vAlign w:val="center"/>
          </w:tcPr>
          <w:p>
            <w:pPr>
              <w:pStyle w:val="56"/>
              <w:rPr>
                <w:rFonts w:cs="Times New Roman"/>
              </w:rPr>
            </w:pPr>
            <w:r>
              <w:rPr>
                <w:rFonts w:cs="Times New Roman"/>
              </w:rPr>
              <w:t>限值含义</w:t>
            </w:r>
          </w:p>
        </w:tc>
        <w:tc>
          <w:tcPr>
            <w:tcW w:w="1561" w:type="dxa"/>
            <w:vAlign w:val="center"/>
          </w:tcPr>
          <w:p>
            <w:pPr>
              <w:pStyle w:val="56"/>
              <w:rPr>
                <w:rFonts w:cs="Times New Roman"/>
              </w:rPr>
            </w:pPr>
            <w:r>
              <w:rPr>
                <w:rFonts w:cs="Times New Roman"/>
              </w:rPr>
              <w:t>无组织排放监控位置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501" w:type="dxa"/>
            <w:vMerge w:val="restart"/>
            <w:vAlign w:val="center"/>
          </w:tcPr>
          <w:p>
            <w:pPr>
              <w:pStyle w:val="56"/>
              <w:rPr>
                <w:rFonts w:cs="Times New Roman"/>
              </w:rPr>
            </w:pPr>
            <w:r>
              <w:rPr>
                <w:rFonts w:cs="Times New Roman"/>
              </w:rPr>
              <w:t>NMHC</w:t>
            </w:r>
          </w:p>
        </w:tc>
        <w:tc>
          <w:tcPr>
            <w:tcW w:w="2360" w:type="dxa"/>
            <w:vAlign w:val="center"/>
          </w:tcPr>
          <w:p>
            <w:pPr>
              <w:pStyle w:val="56"/>
              <w:rPr>
                <w:rFonts w:cs="Times New Roman"/>
              </w:rPr>
            </w:pPr>
            <w:r>
              <w:rPr>
                <w:rFonts w:cs="Times New Roman"/>
              </w:rPr>
              <w:t>6</w:t>
            </w:r>
          </w:p>
        </w:tc>
        <w:tc>
          <w:tcPr>
            <w:tcW w:w="3100" w:type="dxa"/>
            <w:vAlign w:val="center"/>
          </w:tcPr>
          <w:p>
            <w:pPr>
              <w:pStyle w:val="56"/>
              <w:rPr>
                <w:rFonts w:cs="Times New Roman"/>
              </w:rPr>
            </w:pPr>
            <w:r>
              <w:rPr>
                <w:rFonts w:cs="Times New Roman"/>
              </w:rPr>
              <w:t>监控点处1h平均浓度</w:t>
            </w:r>
          </w:p>
        </w:tc>
        <w:tc>
          <w:tcPr>
            <w:tcW w:w="1561" w:type="dxa"/>
            <w:vMerge w:val="restart"/>
            <w:vAlign w:val="center"/>
          </w:tcPr>
          <w:p>
            <w:pPr>
              <w:pStyle w:val="56"/>
              <w:rPr>
                <w:rFonts w:cs="Times New Roman"/>
              </w:rPr>
            </w:pPr>
            <w:r>
              <w:rPr>
                <w:rFonts w:cs="Times New Roman"/>
              </w:rPr>
              <w:t>在厂房外设置监控点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501" w:type="dxa"/>
            <w:vMerge w:val="continue"/>
            <w:vAlign w:val="center"/>
          </w:tcPr>
          <w:p>
            <w:pPr>
              <w:pStyle w:val="56"/>
              <w:rPr>
                <w:rFonts w:cs="Times New Roman"/>
              </w:rPr>
            </w:pPr>
          </w:p>
        </w:tc>
        <w:tc>
          <w:tcPr>
            <w:tcW w:w="2360" w:type="dxa"/>
            <w:vAlign w:val="center"/>
          </w:tcPr>
          <w:p>
            <w:pPr>
              <w:pStyle w:val="56"/>
              <w:rPr>
                <w:rFonts w:cs="Times New Roman"/>
              </w:rPr>
            </w:pPr>
            <w:r>
              <w:rPr>
                <w:rFonts w:cs="Times New Roman"/>
              </w:rPr>
              <w:t>20</w:t>
            </w:r>
          </w:p>
        </w:tc>
        <w:tc>
          <w:tcPr>
            <w:tcW w:w="3100" w:type="dxa"/>
            <w:vAlign w:val="center"/>
          </w:tcPr>
          <w:p>
            <w:pPr>
              <w:pStyle w:val="56"/>
              <w:rPr>
                <w:rFonts w:cs="Times New Roman"/>
              </w:rPr>
            </w:pPr>
            <w:r>
              <w:rPr>
                <w:rFonts w:cs="Times New Roman"/>
              </w:rPr>
              <w:t>监控点处任意一次浓度值</w:t>
            </w:r>
          </w:p>
        </w:tc>
        <w:tc>
          <w:tcPr>
            <w:tcW w:w="1561" w:type="dxa"/>
            <w:vMerge w:val="continue"/>
            <w:vAlign w:val="center"/>
          </w:tcPr>
          <w:p>
            <w:pPr>
              <w:pStyle w:val="56"/>
              <w:rPr>
                <w:rFonts w:cs="Times New Roman"/>
              </w:rPr>
            </w:pPr>
          </w:p>
        </w:tc>
      </w:tr>
    </w:tbl>
    <w:p>
      <w:pPr>
        <w:pStyle w:val="3"/>
      </w:pPr>
      <w:bookmarkStart w:id="68" w:name="_Toc2526"/>
      <w:r>
        <w:rPr>
          <w:rFonts w:hint="eastAsia"/>
        </w:rPr>
        <w:t>噪声</w:t>
      </w:r>
      <w:bookmarkEnd w:id="68"/>
    </w:p>
    <w:p>
      <w:pPr>
        <w:ind w:firstLine="480"/>
      </w:pPr>
      <w:r>
        <w:rPr>
          <w:rFonts w:hint="eastAsia"/>
        </w:rPr>
        <w:t>本项目北面站界执行《工业企业厂界环境噪声排放标准》（GB12348-2008）中的4a类标准（昼间：70dB(A)，夜间：55dB(A)），项目东、南、西面站界执行《工业企业厂界环境噪声排放标准》（GB12348-2008）中的2类标准（昼间：60dB(A)，夜间：50dB(A)）。</w:t>
      </w:r>
    </w:p>
    <w:p>
      <w:pPr>
        <w:ind w:firstLine="480"/>
      </w:pPr>
      <w:r>
        <w:rPr>
          <w:rFonts w:hint="eastAsia"/>
        </w:rPr>
        <w:t>敏感点环境噪声监测值均符合《声环境质量标准》（GB3096-2008）中2类标准。</w:t>
      </w:r>
    </w:p>
    <w:p>
      <w:pPr>
        <w:pStyle w:val="3"/>
      </w:pPr>
      <w:bookmarkStart w:id="69" w:name="_Toc10959"/>
      <w:r>
        <w:rPr>
          <w:rFonts w:hint="eastAsia"/>
        </w:rPr>
        <w:t>固体废物</w:t>
      </w:r>
      <w:bookmarkEnd w:id="69"/>
    </w:p>
    <w:p>
      <w:pPr>
        <w:ind w:firstLine="480"/>
        <w:rPr>
          <w:bCs/>
        </w:rPr>
      </w:pPr>
      <w:r>
        <w:rPr>
          <w:rFonts w:hint="eastAsia"/>
          <w:bCs/>
        </w:rPr>
        <w:t>固体废物管理遵照《中华人民共和国固体废物污染环境防治法》（2020年 9月1日起施行）、《广东省固体废物污染环境防治条例》（2018年11月29日修订）执行。一般固体废物参照《一般工业固体废物贮存和填埋污染控制标准》（GB 18599-2020）规定，贮存过程应满足相应的防渗漏，防雨淋，防扬尘等环境保护要求；危险废物执行《国家危险废物名录》（2021版）、《危险废物贮存污染控制标准》（GB18597-2023）等有关规定。</w:t>
      </w:r>
    </w:p>
    <w:p>
      <w:pPr>
        <w:pStyle w:val="3"/>
        <w:rPr>
          <w:color w:val="auto"/>
        </w:rPr>
      </w:pPr>
      <w:bookmarkStart w:id="70" w:name="_Toc13840"/>
      <w:r>
        <w:rPr>
          <w:rFonts w:hint="eastAsia"/>
          <w:color w:val="auto"/>
        </w:rPr>
        <w:t>油气回收系统</w:t>
      </w:r>
      <w:bookmarkEnd w:id="70"/>
    </w:p>
    <w:p>
      <w:pPr>
        <w:ind w:firstLine="480"/>
        <w:rPr>
          <w:color w:val="auto"/>
        </w:rPr>
      </w:pPr>
      <w:r>
        <w:rPr>
          <w:rFonts w:hint="eastAsia"/>
          <w:color w:val="auto"/>
        </w:rPr>
        <w:t>油气回收装置油气排放浓度执行《加油站大气污染物排放标准》（GB20952-2020）中油气浓度排放限值25g/m</w:t>
      </w:r>
      <w:r>
        <w:rPr>
          <w:rFonts w:hint="eastAsia"/>
          <w:color w:val="auto"/>
          <w:vertAlign w:val="superscript"/>
        </w:rPr>
        <w:t>3</w:t>
      </w:r>
      <w:r>
        <w:rPr>
          <w:rFonts w:hint="eastAsia"/>
          <w:color w:val="auto"/>
        </w:rPr>
        <w:t>标准，且排放口距地平面高度不低于4m。</w:t>
      </w:r>
    </w:p>
    <w:p>
      <w:pPr>
        <w:widowControl/>
        <w:adjustRightInd w:val="0"/>
        <w:snapToGrid w:val="0"/>
        <w:spacing w:before="156" w:beforeLines="50" w:line="0" w:lineRule="atLeast"/>
        <w:ind w:firstLine="422"/>
        <w:jc w:val="center"/>
        <w:rPr>
          <w:rFonts w:cs="Times New Roman"/>
          <w:b/>
          <w:color w:val="auto"/>
          <w:kern w:val="0"/>
          <w:sz w:val="21"/>
          <w:szCs w:val="21"/>
        </w:rPr>
      </w:pPr>
      <w:r>
        <w:rPr>
          <w:rFonts w:cs="Times New Roman"/>
          <w:b/>
          <w:color w:val="auto"/>
          <w:kern w:val="0"/>
          <w:sz w:val="21"/>
          <w:szCs w:val="21"/>
        </w:rPr>
        <w:t>表</w:t>
      </w:r>
      <w:r>
        <w:rPr>
          <w:rFonts w:hint="eastAsia" w:cs="Times New Roman"/>
          <w:b/>
          <w:color w:val="auto"/>
          <w:kern w:val="0"/>
          <w:sz w:val="21"/>
          <w:szCs w:val="21"/>
        </w:rPr>
        <w:t>6.5-1 《加油站大气污染物排放标准》（GB20952-2020）</w:t>
      </w:r>
    </w:p>
    <w:tbl>
      <w:tblPr>
        <w:tblStyle w:val="6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7"/>
        <w:gridCol w:w="1413"/>
        <w:gridCol w:w="1413"/>
        <w:gridCol w:w="1413"/>
        <w:gridCol w:w="1413"/>
        <w:gridCol w:w="14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522" w:type="dxa"/>
            <w:gridSpan w:val="6"/>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b/>
                <w:bCs/>
                <w:color w:val="auto"/>
                <w:kern w:val="44"/>
                <w:sz w:val="18"/>
                <w:szCs w:val="21"/>
              </w:rPr>
              <w:t>加油站油气回收管线液阻最大压力限值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4283" w:type="dxa"/>
            <w:gridSpan w:val="3"/>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通入氮气流量/（L/min）</w:t>
            </w:r>
          </w:p>
        </w:tc>
        <w:tc>
          <w:tcPr>
            <w:tcW w:w="4239" w:type="dxa"/>
            <w:gridSpan w:val="3"/>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最大压力/Pa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4283" w:type="dxa"/>
            <w:gridSpan w:val="3"/>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18</w:t>
            </w:r>
          </w:p>
        </w:tc>
        <w:tc>
          <w:tcPr>
            <w:tcW w:w="4239" w:type="dxa"/>
            <w:gridSpan w:val="3"/>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4283" w:type="dxa"/>
            <w:gridSpan w:val="3"/>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28</w:t>
            </w:r>
          </w:p>
        </w:tc>
        <w:tc>
          <w:tcPr>
            <w:tcW w:w="4239" w:type="dxa"/>
            <w:gridSpan w:val="3"/>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4283" w:type="dxa"/>
            <w:gridSpan w:val="3"/>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38</w:t>
            </w:r>
          </w:p>
        </w:tc>
        <w:tc>
          <w:tcPr>
            <w:tcW w:w="4239" w:type="dxa"/>
            <w:gridSpan w:val="3"/>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522" w:type="dxa"/>
            <w:gridSpan w:val="6"/>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b/>
                <w:bCs/>
                <w:color w:val="auto"/>
                <w:kern w:val="44"/>
                <w:sz w:val="18"/>
                <w:szCs w:val="21"/>
              </w:rPr>
              <w:t>加油站油气回收系统密闭性检测最小剩余压力限值       单位：Pa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trPr>
        <w:tc>
          <w:tcPr>
            <w:tcW w:w="1457" w:type="dxa"/>
            <w:vMerge w:val="restart"/>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储罐油气空间/L</w:t>
            </w:r>
          </w:p>
        </w:tc>
        <w:tc>
          <w:tcPr>
            <w:tcW w:w="7065" w:type="dxa"/>
            <w:gridSpan w:val="5"/>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受影响的加油枪数注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trPr>
        <w:tc>
          <w:tcPr>
            <w:tcW w:w="1457" w:type="dxa"/>
            <w:vMerge w:val="continue"/>
            <w:vAlign w:val="center"/>
          </w:tcPr>
          <w:p>
            <w:pPr>
              <w:topLinePunct/>
              <w:adjustRightInd w:val="0"/>
              <w:snapToGrid w:val="0"/>
              <w:spacing w:line="0" w:lineRule="atLeast"/>
              <w:ind w:firstLine="0" w:firstLineChars="0"/>
              <w:jc w:val="center"/>
              <w:rPr>
                <w:rFonts w:cs="Times New Roman"/>
                <w:color w:val="auto"/>
                <w:kern w:val="44"/>
                <w:sz w:val="18"/>
                <w:szCs w:val="21"/>
              </w:rPr>
            </w:pP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7~12</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13~18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19~24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&gt;24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1893</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182</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172</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162</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152</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2082</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199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189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179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169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2271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217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204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194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184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2460</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232</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219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209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199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2650</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244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234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224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214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2839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257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244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234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227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3028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267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257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247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237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3217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277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267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257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249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3407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286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277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267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257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3596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294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284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277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267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3785</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301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294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284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274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4542</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329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319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311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304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5299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349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341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334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326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6056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364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356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351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344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6813</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376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371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364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359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7570</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389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381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376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371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8327</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396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391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386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381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9084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404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399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394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389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9841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411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406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401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396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10598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416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411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409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404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11355</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421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418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414</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409</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13248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431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428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423</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421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15140</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438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436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433</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428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17033</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446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443</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441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436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18925</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451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448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446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443</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22710</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458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456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453</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451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26495</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463</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461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461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458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30280</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468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466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463</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463</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34065</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471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471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468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466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37850</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473</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473</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471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468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56775</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481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481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481</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478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75700</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486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486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483</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483</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457"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94625</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488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488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488</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486</w:t>
            </w:r>
          </w:p>
        </w:tc>
        <w:tc>
          <w:tcPr>
            <w:tcW w:w="1413"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486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522" w:type="dxa"/>
            <w:gridSpan w:val="6"/>
            <w:vAlign w:val="center"/>
          </w:tcPr>
          <w:p>
            <w:pPr>
              <w:topLinePunct/>
              <w:adjustRightInd w:val="0"/>
              <w:snapToGrid w:val="0"/>
              <w:spacing w:line="0" w:lineRule="atLeast"/>
              <w:ind w:firstLine="0" w:firstLineChars="0"/>
              <w:rPr>
                <w:rFonts w:cs="Times New Roman"/>
                <w:color w:val="auto"/>
                <w:kern w:val="44"/>
                <w:sz w:val="18"/>
                <w:szCs w:val="21"/>
              </w:rPr>
            </w:pPr>
            <w:r>
              <w:rPr>
                <w:rFonts w:cs="Times New Roman"/>
                <w:color w:val="auto"/>
                <w:kern w:val="44"/>
                <w:sz w:val="18"/>
                <w:szCs w:val="21"/>
              </w:rPr>
              <w:t>注：如果各储罐油气管线连通，则受影响的加油枪数等于汽油加油枪总数。否则，仅统计通过油气管线与被检测储罐相联的加油枪数。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522" w:type="dxa"/>
            <w:gridSpan w:val="6"/>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b/>
                <w:bCs/>
                <w:color w:val="auto"/>
                <w:kern w:val="44"/>
                <w:sz w:val="18"/>
                <w:szCs w:val="21"/>
              </w:rPr>
              <w:t>油气回收系统的气液比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522" w:type="dxa"/>
            <w:gridSpan w:val="6"/>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各种加油油气回收系统的气液比均应在大于等于 1.0 和小于等于 1.2 范围内。</w:t>
            </w:r>
          </w:p>
        </w:tc>
      </w:tr>
    </w:tbl>
    <w:p>
      <w:pPr>
        <w:ind w:firstLine="480"/>
        <w:rPr>
          <w:color w:val="auto"/>
        </w:rPr>
      </w:pPr>
    </w:p>
    <w:p>
      <w:pPr>
        <w:widowControl/>
        <w:spacing w:line="240" w:lineRule="auto"/>
        <w:ind w:firstLine="0" w:firstLineChars="0"/>
        <w:jc w:val="left"/>
        <w:rPr>
          <w:color w:val="auto"/>
        </w:rPr>
      </w:pPr>
      <w:r>
        <w:rPr>
          <w:color w:val="auto"/>
        </w:rPr>
        <w:br w:type="page"/>
      </w:r>
    </w:p>
    <w:p>
      <w:pPr>
        <w:pStyle w:val="2"/>
        <w:rPr>
          <w:color w:val="auto"/>
        </w:rPr>
      </w:pPr>
      <w:bookmarkStart w:id="71" w:name="_Toc12676"/>
      <w:r>
        <w:rPr>
          <w:rFonts w:hint="eastAsia"/>
          <w:color w:val="auto"/>
        </w:rPr>
        <w:t>验收监测内容</w:t>
      </w:r>
      <w:bookmarkEnd w:id="71"/>
    </w:p>
    <w:p>
      <w:pPr>
        <w:pStyle w:val="3"/>
        <w:rPr>
          <w:color w:val="auto"/>
        </w:rPr>
      </w:pPr>
      <w:bookmarkStart w:id="72" w:name="_Toc28978"/>
      <w:r>
        <w:rPr>
          <w:rFonts w:hint="eastAsia"/>
          <w:color w:val="auto"/>
        </w:rPr>
        <w:t>废水</w:t>
      </w:r>
      <w:bookmarkEnd w:id="72"/>
    </w:p>
    <w:p>
      <w:pPr>
        <w:pStyle w:val="33"/>
        <w:rPr>
          <w:color w:val="auto"/>
        </w:rPr>
      </w:pPr>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color w:val="auto"/>
        </w:rPr>
        <w:t>7.1</w:t>
      </w:r>
      <w:r>
        <w:rPr>
          <w:color w:val="auto"/>
        </w:rPr>
        <w:fldChar w:fldCharType="end"/>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1</w:t>
      </w:r>
      <w:r>
        <w:rPr>
          <w:color w:val="auto"/>
        </w:rPr>
        <w:fldChar w:fldCharType="end"/>
      </w:r>
      <w:r>
        <w:rPr>
          <w:color w:val="auto"/>
        </w:rPr>
        <w:t xml:space="preserve"> </w:t>
      </w:r>
      <w:r>
        <w:rPr>
          <w:rFonts w:hint="eastAsia"/>
          <w:color w:val="auto"/>
        </w:rPr>
        <w:t>废水监测点位、监测项目和频次一览表</w:t>
      </w:r>
    </w:p>
    <w:tbl>
      <w:tblPr>
        <w:tblStyle w:val="22"/>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1"/>
        <w:gridCol w:w="1839"/>
        <w:gridCol w:w="3862"/>
        <w:gridCol w:w="2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3" w:hRule="atLeast"/>
          <w:jc w:val="center"/>
        </w:trPr>
        <w:tc>
          <w:tcPr>
            <w:tcW w:w="70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color w:val="auto"/>
                <w:sz w:val="21"/>
                <w:szCs w:val="21"/>
              </w:rPr>
            </w:pPr>
            <w:r>
              <w:rPr>
                <w:color w:val="auto"/>
                <w:sz w:val="21"/>
                <w:szCs w:val="21"/>
              </w:rPr>
              <w:t>编号</w:t>
            </w:r>
          </w:p>
        </w:tc>
        <w:tc>
          <w:tcPr>
            <w:tcW w:w="1839"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color w:val="auto"/>
                <w:sz w:val="21"/>
                <w:szCs w:val="21"/>
              </w:rPr>
            </w:pPr>
            <w:r>
              <w:rPr>
                <w:color w:val="auto"/>
                <w:sz w:val="21"/>
                <w:szCs w:val="21"/>
              </w:rPr>
              <w:t>监测点位</w:t>
            </w:r>
          </w:p>
        </w:tc>
        <w:tc>
          <w:tcPr>
            <w:tcW w:w="3862"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color w:val="auto"/>
                <w:sz w:val="21"/>
                <w:szCs w:val="21"/>
              </w:rPr>
            </w:pPr>
            <w:r>
              <w:rPr>
                <w:color w:val="auto"/>
                <w:sz w:val="21"/>
                <w:szCs w:val="21"/>
              </w:rPr>
              <w:t>监测项目</w:t>
            </w:r>
          </w:p>
        </w:tc>
        <w:tc>
          <w:tcPr>
            <w:tcW w:w="2120"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color w:val="auto"/>
                <w:sz w:val="21"/>
                <w:szCs w:val="21"/>
              </w:rPr>
            </w:pPr>
            <w:r>
              <w:rPr>
                <w:color w:val="auto"/>
                <w:sz w:val="21"/>
                <w:szCs w:val="21"/>
              </w:rPr>
              <w:t>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02" w:hRule="atLeast"/>
          <w:jc w:val="center"/>
        </w:trPr>
        <w:tc>
          <w:tcPr>
            <w:tcW w:w="70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color w:val="auto"/>
                <w:sz w:val="21"/>
                <w:szCs w:val="21"/>
              </w:rPr>
            </w:pPr>
            <w:r>
              <w:rPr>
                <w:color w:val="auto"/>
                <w:sz w:val="21"/>
                <w:szCs w:val="21"/>
              </w:rPr>
              <w:t>W1</w:t>
            </w:r>
          </w:p>
        </w:tc>
        <w:tc>
          <w:tcPr>
            <w:tcW w:w="1839"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color w:val="auto"/>
                <w:sz w:val="21"/>
                <w:szCs w:val="21"/>
              </w:rPr>
            </w:pPr>
            <w:r>
              <w:rPr>
                <w:rFonts w:hint="eastAsia"/>
                <w:color w:val="auto"/>
                <w:sz w:val="21"/>
                <w:szCs w:val="21"/>
              </w:rPr>
              <w:t>三级化粪池</w:t>
            </w:r>
          </w:p>
        </w:tc>
        <w:tc>
          <w:tcPr>
            <w:tcW w:w="3862" w:type="dxa"/>
            <w:tcBorders>
              <w:top w:val="single" w:color="auto" w:sz="4" w:space="0"/>
              <w:left w:val="nil"/>
              <w:bottom w:val="single" w:color="auto" w:sz="4" w:space="0"/>
              <w:right w:val="single" w:color="auto" w:sz="4" w:space="0"/>
            </w:tcBorders>
            <w:vAlign w:val="center"/>
          </w:tcPr>
          <w:p>
            <w:pPr>
              <w:adjustRightInd w:val="0"/>
              <w:snapToGrid w:val="0"/>
              <w:spacing w:before="100" w:after="100" w:line="240" w:lineRule="auto"/>
              <w:ind w:firstLine="0" w:firstLineChars="0"/>
              <w:jc w:val="center"/>
              <w:rPr>
                <w:color w:val="auto"/>
                <w:sz w:val="21"/>
                <w:szCs w:val="21"/>
              </w:rPr>
            </w:pPr>
            <w:r>
              <w:rPr>
                <w:rFonts w:hint="eastAsia"/>
                <w:color w:val="auto"/>
                <w:sz w:val="21"/>
                <w:szCs w:val="21"/>
              </w:rPr>
              <w:t>p</w:t>
            </w:r>
            <w:r>
              <w:rPr>
                <w:color w:val="auto"/>
                <w:sz w:val="21"/>
                <w:szCs w:val="21"/>
              </w:rPr>
              <w:t>H</w:t>
            </w:r>
            <w:r>
              <w:rPr>
                <w:rFonts w:hint="eastAsia"/>
                <w:color w:val="auto"/>
                <w:sz w:val="21"/>
                <w:szCs w:val="21"/>
              </w:rPr>
              <w:t>、</w:t>
            </w:r>
            <w:r>
              <w:rPr>
                <w:color w:val="auto"/>
                <w:sz w:val="21"/>
                <w:szCs w:val="21"/>
              </w:rPr>
              <w:t>悬浮物、化学需氧量、五日生化需氧量、氨氮、</w:t>
            </w:r>
          </w:p>
        </w:tc>
        <w:tc>
          <w:tcPr>
            <w:tcW w:w="2120" w:type="dxa"/>
            <w:vMerge w:val="restart"/>
            <w:tcBorders>
              <w:top w:val="nil"/>
              <w:left w:val="nil"/>
              <w:bottom w:val="single" w:color="auto" w:sz="4" w:space="0"/>
              <w:right w:val="single" w:color="auto" w:sz="4" w:space="0"/>
            </w:tcBorders>
            <w:vAlign w:val="center"/>
          </w:tcPr>
          <w:p>
            <w:pPr>
              <w:adjustRightInd w:val="0"/>
              <w:snapToGrid w:val="0"/>
              <w:spacing w:line="240" w:lineRule="auto"/>
              <w:ind w:firstLine="0" w:firstLineChars="0"/>
              <w:jc w:val="center"/>
              <w:rPr>
                <w:color w:val="auto"/>
                <w:sz w:val="21"/>
                <w:szCs w:val="21"/>
              </w:rPr>
            </w:pPr>
            <w:r>
              <w:rPr>
                <w:color w:val="auto"/>
                <w:sz w:val="21"/>
                <w:szCs w:val="21"/>
              </w:rPr>
              <w:t>连续采样监测2天、</w:t>
            </w:r>
          </w:p>
          <w:p>
            <w:pPr>
              <w:adjustRightInd w:val="0"/>
              <w:snapToGrid w:val="0"/>
              <w:spacing w:line="240" w:lineRule="auto"/>
              <w:ind w:firstLine="0" w:firstLineChars="0"/>
              <w:jc w:val="center"/>
              <w:rPr>
                <w:color w:val="auto"/>
                <w:sz w:val="21"/>
                <w:szCs w:val="21"/>
              </w:rPr>
            </w:pPr>
            <w:r>
              <w:rPr>
                <w:color w:val="auto"/>
                <w:sz w:val="21"/>
                <w:szCs w:val="21"/>
              </w:rPr>
              <w:t>每天采样4次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80" w:hRule="atLeast"/>
          <w:jc w:val="center"/>
        </w:trPr>
        <w:tc>
          <w:tcPr>
            <w:tcW w:w="70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color w:val="auto"/>
                <w:sz w:val="21"/>
                <w:szCs w:val="21"/>
              </w:rPr>
            </w:pPr>
            <w:r>
              <w:rPr>
                <w:color w:val="auto"/>
                <w:sz w:val="21"/>
                <w:szCs w:val="21"/>
              </w:rPr>
              <w:t>W2</w:t>
            </w:r>
          </w:p>
        </w:tc>
        <w:tc>
          <w:tcPr>
            <w:tcW w:w="1839"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color w:val="auto"/>
                <w:sz w:val="21"/>
                <w:szCs w:val="21"/>
              </w:rPr>
            </w:pPr>
            <w:r>
              <w:rPr>
                <w:color w:val="auto"/>
                <w:sz w:val="21"/>
                <w:szCs w:val="21"/>
              </w:rPr>
              <w:t>隔油池</w:t>
            </w:r>
          </w:p>
        </w:tc>
        <w:tc>
          <w:tcPr>
            <w:tcW w:w="3862" w:type="dxa"/>
            <w:tcBorders>
              <w:top w:val="single" w:color="auto" w:sz="4" w:space="0"/>
              <w:left w:val="nil"/>
              <w:bottom w:val="single" w:color="auto" w:sz="4" w:space="0"/>
              <w:right w:val="single" w:color="auto" w:sz="4" w:space="0"/>
            </w:tcBorders>
            <w:vAlign w:val="center"/>
          </w:tcPr>
          <w:p>
            <w:pPr>
              <w:adjustRightInd w:val="0"/>
              <w:snapToGrid w:val="0"/>
              <w:spacing w:before="100" w:after="100" w:line="240" w:lineRule="auto"/>
              <w:ind w:firstLine="0" w:firstLineChars="0"/>
              <w:jc w:val="center"/>
              <w:rPr>
                <w:color w:val="auto"/>
                <w:sz w:val="21"/>
                <w:szCs w:val="21"/>
              </w:rPr>
            </w:pPr>
            <w:r>
              <w:rPr>
                <w:rFonts w:hint="eastAsia"/>
                <w:color w:val="auto"/>
                <w:sz w:val="21"/>
                <w:szCs w:val="21"/>
              </w:rPr>
              <w:t>p</w:t>
            </w:r>
            <w:r>
              <w:rPr>
                <w:color w:val="auto"/>
                <w:sz w:val="21"/>
                <w:szCs w:val="21"/>
              </w:rPr>
              <w:t>H</w:t>
            </w:r>
            <w:r>
              <w:rPr>
                <w:rFonts w:hint="eastAsia"/>
                <w:color w:val="auto"/>
                <w:sz w:val="21"/>
                <w:szCs w:val="21"/>
              </w:rPr>
              <w:t>、</w:t>
            </w:r>
            <w:r>
              <w:rPr>
                <w:color w:val="auto"/>
                <w:sz w:val="21"/>
                <w:szCs w:val="21"/>
              </w:rPr>
              <w:t>悬浮物、化学需氧量、五日生化需氧量、</w:t>
            </w:r>
            <w:r>
              <w:rPr>
                <w:rFonts w:hint="eastAsia"/>
                <w:color w:val="auto"/>
                <w:sz w:val="21"/>
                <w:szCs w:val="21"/>
              </w:rPr>
              <w:t>阴离子</w:t>
            </w:r>
            <w:r>
              <w:rPr>
                <w:color w:val="auto"/>
                <w:sz w:val="21"/>
                <w:szCs w:val="21"/>
              </w:rPr>
              <w:t>表面活性剂</w:t>
            </w:r>
            <w:r>
              <w:rPr>
                <w:rFonts w:hint="eastAsia"/>
                <w:color w:val="auto"/>
                <w:sz w:val="21"/>
                <w:szCs w:val="21"/>
              </w:rPr>
              <w:t>、</w:t>
            </w:r>
            <w:r>
              <w:rPr>
                <w:color w:val="auto"/>
                <w:sz w:val="21"/>
                <w:szCs w:val="21"/>
              </w:rPr>
              <w:t>石油类</w:t>
            </w:r>
          </w:p>
        </w:tc>
        <w:tc>
          <w:tcPr>
            <w:tcW w:w="2120" w:type="dxa"/>
            <w:vMerge w:val="continue"/>
            <w:tcBorders>
              <w:top w:val="nil"/>
              <w:left w:val="nil"/>
              <w:bottom w:val="single" w:color="auto" w:sz="4" w:space="0"/>
              <w:right w:val="single" w:color="auto" w:sz="4" w:space="0"/>
            </w:tcBorders>
            <w:vAlign w:val="center"/>
          </w:tcPr>
          <w:p>
            <w:pPr>
              <w:widowControl/>
              <w:snapToGrid w:val="0"/>
              <w:spacing w:line="240" w:lineRule="auto"/>
              <w:ind w:firstLine="0" w:firstLineChars="0"/>
              <w:jc w:val="left"/>
              <w:rPr>
                <w:color w:val="auto"/>
                <w:sz w:val="21"/>
                <w:szCs w:val="21"/>
              </w:rPr>
            </w:pPr>
          </w:p>
        </w:tc>
      </w:tr>
    </w:tbl>
    <w:p>
      <w:pPr>
        <w:pStyle w:val="3"/>
        <w:rPr>
          <w:color w:val="auto"/>
        </w:rPr>
      </w:pPr>
      <w:bookmarkStart w:id="73" w:name="_Toc16117"/>
      <w:r>
        <w:rPr>
          <w:rFonts w:hint="eastAsia"/>
          <w:color w:val="auto"/>
        </w:rPr>
        <w:t>废气</w:t>
      </w:r>
      <w:bookmarkEnd w:id="73"/>
    </w:p>
    <w:p>
      <w:pPr>
        <w:pStyle w:val="33"/>
        <w:rPr>
          <w:color w:val="auto"/>
        </w:rPr>
      </w:pPr>
      <w:r>
        <w:rPr>
          <w:rFonts w:hint="eastAsia"/>
          <w:color w:val="auto"/>
        </w:rPr>
        <w:t xml:space="preserve">表 </w:t>
      </w:r>
      <w:r>
        <w:rPr>
          <w:color w:val="auto"/>
        </w:rPr>
        <w:t>7.2</w:t>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1</w:t>
      </w:r>
      <w:r>
        <w:rPr>
          <w:color w:val="auto"/>
        </w:rPr>
        <w:fldChar w:fldCharType="end"/>
      </w:r>
      <w:r>
        <w:rPr>
          <w:color w:val="auto"/>
        </w:rPr>
        <w:t xml:space="preserve"> </w:t>
      </w:r>
      <w:r>
        <w:rPr>
          <w:rFonts w:hint="eastAsia"/>
          <w:color w:val="auto"/>
        </w:rPr>
        <w:t>废气监测点位、监测项目和频次一览表</w:t>
      </w:r>
    </w:p>
    <w:tbl>
      <w:tblPr>
        <w:tblStyle w:val="22"/>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2"/>
        <w:gridCol w:w="1854"/>
        <w:gridCol w:w="1802"/>
        <w:gridCol w:w="2173"/>
        <w:gridCol w:w="2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7" w:hRule="atLeast"/>
          <w:jc w:val="center"/>
        </w:trPr>
        <w:tc>
          <w:tcPr>
            <w:tcW w:w="522" w:type="dxa"/>
            <w:vAlign w:val="center"/>
          </w:tcPr>
          <w:p>
            <w:pPr>
              <w:adjustRightInd w:val="0"/>
              <w:snapToGrid w:val="0"/>
              <w:ind w:firstLine="0" w:firstLineChars="0"/>
              <w:jc w:val="center"/>
              <w:rPr>
                <w:color w:val="auto"/>
                <w:sz w:val="21"/>
                <w:szCs w:val="21"/>
              </w:rPr>
            </w:pPr>
          </w:p>
        </w:tc>
        <w:tc>
          <w:tcPr>
            <w:tcW w:w="1854" w:type="dxa"/>
            <w:vAlign w:val="center"/>
          </w:tcPr>
          <w:p>
            <w:pPr>
              <w:adjustRightInd w:val="0"/>
              <w:snapToGrid w:val="0"/>
              <w:ind w:firstLine="0" w:firstLineChars="0"/>
              <w:jc w:val="center"/>
              <w:rPr>
                <w:color w:val="auto"/>
                <w:sz w:val="21"/>
                <w:szCs w:val="21"/>
              </w:rPr>
            </w:pPr>
            <w:r>
              <w:rPr>
                <w:color w:val="auto"/>
                <w:sz w:val="21"/>
                <w:szCs w:val="21"/>
              </w:rPr>
              <w:t>监测点位</w:t>
            </w:r>
          </w:p>
        </w:tc>
        <w:tc>
          <w:tcPr>
            <w:tcW w:w="1802" w:type="dxa"/>
            <w:vAlign w:val="center"/>
          </w:tcPr>
          <w:p>
            <w:pPr>
              <w:adjustRightInd w:val="0"/>
              <w:snapToGrid w:val="0"/>
              <w:ind w:firstLine="0" w:firstLineChars="0"/>
              <w:jc w:val="center"/>
              <w:rPr>
                <w:color w:val="auto"/>
                <w:sz w:val="21"/>
                <w:szCs w:val="21"/>
              </w:rPr>
            </w:pPr>
            <w:r>
              <w:rPr>
                <w:color w:val="auto"/>
                <w:sz w:val="21"/>
                <w:szCs w:val="21"/>
              </w:rPr>
              <w:t>监测项目</w:t>
            </w:r>
          </w:p>
        </w:tc>
        <w:tc>
          <w:tcPr>
            <w:tcW w:w="2173" w:type="dxa"/>
            <w:vAlign w:val="center"/>
          </w:tcPr>
          <w:p>
            <w:pPr>
              <w:adjustRightInd w:val="0"/>
              <w:snapToGrid w:val="0"/>
              <w:ind w:firstLine="0" w:firstLineChars="0"/>
              <w:jc w:val="center"/>
              <w:rPr>
                <w:color w:val="auto"/>
                <w:sz w:val="21"/>
                <w:szCs w:val="21"/>
              </w:rPr>
            </w:pPr>
            <w:r>
              <w:rPr>
                <w:color w:val="auto"/>
                <w:sz w:val="21"/>
                <w:szCs w:val="21"/>
              </w:rPr>
              <w:t>频次</w:t>
            </w:r>
          </w:p>
        </w:tc>
        <w:tc>
          <w:tcPr>
            <w:tcW w:w="2171" w:type="dxa"/>
            <w:vAlign w:val="center"/>
          </w:tcPr>
          <w:p>
            <w:pPr>
              <w:adjustRightInd w:val="0"/>
              <w:snapToGrid w:val="0"/>
              <w:ind w:firstLine="0" w:firstLineChars="0"/>
              <w:jc w:val="center"/>
              <w:rPr>
                <w:color w:val="auto"/>
                <w:sz w:val="21"/>
                <w:szCs w:val="21"/>
              </w:rPr>
            </w:pPr>
            <w:r>
              <w:rPr>
                <w:rFonts w:hint="eastAsia"/>
                <w:color w:val="auto"/>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4" w:hRule="atLeast"/>
          <w:jc w:val="center"/>
        </w:trPr>
        <w:tc>
          <w:tcPr>
            <w:tcW w:w="522" w:type="dxa"/>
            <w:vMerge w:val="restart"/>
            <w:vAlign w:val="center"/>
          </w:tcPr>
          <w:p>
            <w:pPr>
              <w:adjustRightInd w:val="0"/>
              <w:snapToGrid w:val="0"/>
              <w:ind w:firstLine="0" w:firstLineChars="0"/>
              <w:jc w:val="center"/>
              <w:rPr>
                <w:color w:val="auto"/>
                <w:sz w:val="21"/>
                <w:szCs w:val="21"/>
              </w:rPr>
            </w:pPr>
            <w:r>
              <w:rPr>
                <w:rFonts w:hint="eastAsia"/>
                <w:color w:val="auto"/>
                <w:sz w:val="21"/>
                <w:szCs w:val="21"/>
              </w:rPr>
              <w:t>无组织废气</w:t>
            </w:r>
          </w:p>
        </w:tc>
        <w:tc>
          <w:tcPr>
            <w:tcW w:w="1854" w:type="dxa"/>
            <w:vAlign w:val="center"/>
          </w:tcPr>
          <w:p>
            <w:pPr>
              <w:adjustRightInd w:val="0"/>
              <w:spacing w:line="300" w:lineRule="exact"/>
              <w:ind w:firstLine="0" w:firstLineChars="0"/>
              <w:jc w:val="center"/>
              <w:rPr>
                <w:color w:val="auto"/>
                <w:sz w:val="21"/>
                <w:szCs w:val="21"/>
              </w:rPr>
            </w:pPr>
            <w:r>
              <w:rPr>
                <w:rFonts w:hint="eastAsia"/>
                <w:color w:val="auto"/>
                <w:sz w:val="21"/>
                <w:szCs w:val="21"/>
              </w:rPr>
              <w:t>厂界上</w:t>
            </w:r>
            <w:r>
              <w:rPr>
                <w:color w:val="auto"/>
                <w:sz w:val="21"/>
                <w:szCs w:val="21"/>
              </w:rPr>
              <w:t>风点</w:t>
            </w:r>
            <w:r>
              <w:rPr>
                <w:rFonts w:hint="eastAsia" w:ascii="宋体" w:hAnsi="宋体" w:cs="宋体"/>
                <w:color w:val="auto"/>
                <w:sz w:val="21"/>
                <w:szCs w:val="21"/>
              </w:rPr>
              <w:t>○</w:t>
            </w:r>
            <w:r>
              <w:rPr>
                <w:color w:val="auto"/>
                <w:sz w:val="21"/>
                <w:szCs w:val="21"/>
              </w:rPr>
              <w:t>1</w:t>
            </w:r>
          </w:p>
        </w:tc>
        <w:tc>
          <w:tcPr>
            <w:tcW w:w="1802" w:type="dxa"/>
            <w:vMerge w:val="restart"/>
            <w:vAlign w:val="center"/>
          </w:tcPr>
          <w:p>
            <w:pPr>
              <w:adjustRightInd w:val="0"/>
              <w:snapToGrid w:val="0"/>
              <w:ind w:firstLine="0" w:firstLineChars="0"/>
              <w:jc w:val="center"/>
              <w:rPr>
                <w:color w:val="auto"/>
                <w:sz w:val="21"/>
                <w:szCs w:val="21"/>
              </w:rPr>
            </w:pPr>
            <w:r>
              <w:rPr>
                <w:rFonts w:hint="eastAsia"/>
                <w:color w:val="auto"/>
                <w:sz w:val="21"/>
                <w:szCs w:val="21"/>
              </w:rPr>
              <w:t>非甲烷总烃</w:t>
            </w:r>
          </w:p>
        </w:tc>
        <w:tc>
          <w:tcPr>
            <w:tcW w:w="2173" w:type="dxa"/>
            <w:vMerge w:val="restart"/>
            <w:vAlign w:val="center"/>
          </w:tcPr>
          <w:p>
            <w:pPr>
              <w:adjustRightInd w:val="0"/>
              <w:snapToGrid w:val="0"/>
              <w:ind w:firstLine="0" w:firstLineChars="0"/>
              <w:jc w:val="center"/>
              <w:rPr>
                <w:color w:val="auto"/>
                <w:sz w:val="21"/>
                <w:szCs w:val="21"/>
              </w:rPr>
            </w:pPr>
            <w:r>
              <w:rPr>
                <w:color w:val="auto"/>
                <w:sz w:val="21"/>
                <w:szCs w:val="21"/>
              </w:rPr>
              <w:t>连续采样监测2天、</w:t>
            </w:r>
          </w:p>
          <w:p>
            <w:pPr>
              <w:adjustRightInd w:val="0"/>
              <w:snapToGrid w:val="0"/>
              <w:ind w:firstLine="0" w:firstLineChars="0"/>
              <w:jc w:val="center"/>
              <w:rPr>
                <w:color w:val="auto"/>
                <w:sz w:val="21"/>
                <w:szCs w:val="21"/>
              </w:rPr>
            </w:pPr>
            <w:r>
              <w:rPr>
                <w:color w:val="auto"/>
                <w:sz w:val="21"/>
                <w:szCs w:val="21"/>
              </w:rPr>
              <w:t>每天采样3次</w:t>
            </w:r>
          </w:p>
        </w:tc>
        <w:tc>
          <w:tcPr>
            <w:tcW w:w="2171" w:type="dxa"/>
            <w:vMerge w:val="restart"/>
            <w:vAlign w:val="center"/>
          </w:tcPr>
          <w:p>
            <w:pPr>
              <w:adjustRightInd w:val="0"/>
              <w:snapToGrid w:val="0"/>
              <w:ind w:firstLine="0" w:firstLineChars="0"/>
              <w:jc w:val="center"/>
              <w:rPr>
                <w:color w:val="auto"/>
                <w:sz w:val="21"/>
                <w:szCs w:val="21"/>
              </w:rPr>
            </w:pPr>
            <w:r>
              <w:rPr>
                <w:rFonts w:hint="eastAsia"/>
                <w:color w:val="auto"/>
                <w:sz w:val="21"/>
                <w:szCs w:val="21"/>
              </w:rPr>
              <w:t>同时记录气温、风速、气压、湿度、风向等气象条件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4" w:hRule="atLeast"/>
          <w:jc w:val="center"/>
        </w:trPr>
        <w:tc>
          <w:tcPr>
            <w:tcW w:w="522" w:type="dxa"/>
            <w:vMerge w:val="continue"/>
            <w:vAlign w:val="center"/>
          </w:tcPr>
          <w:p>
            <w:pPr>
              <w:adjustRightInd w:val="0"/>
              <w:snapToGrid w:val="0"/>
              <w:ind w:firstLine="0" w:firstLineChars="0"/>
              <w:jc w:val="center"/>
              <w:rPr>
                <w:color w:val="auto"/>
                <w:sz w:val="21"/>
                <w:szCs w:val="21"/>
              </w:rPr>
            </w:pPr>
          </w:p>
        </w:tc>
        <w:tc>
          <w:tcPr>
            <w:tcW w:w="1854" w:type="dxa"/>
            <w:vAlign w:val="center"/>
          </w:tcPr>
          <w:p>
            <w:pPr>
              <w:adjustRightInd w:val="0"/>
              <w:spacing w:line="300" w:lineRule="exact"/>
              <w:ind w:firstLine="0" w:firstLineChars="0"/>
              <w:jc w:val="center"/>
              <w:rPr>
                <w:color w:val="auto"/>
                <w:sz w:val="21"/>
                <w:szCs w:val="21"/>
              </w:rPr>
            </w:pPr>
            <w:r>
              <w:rPr>
                <w:rFonts w:hint="eastAsia"/>
                <w:color w:val="auto"/>
                <w:sz w:val="21"/>
                <w:szCs w:val="21"/>
              </w:rPr>
              <w:t>厂界</w:t>
            </w:r>
            <w:r>
              <w:rPr>
                <w:color w:val="auto"/>
                <w:sz w:val="21"/>
                <w:szCs w:val="21"/>
              </w:rPr>
              <w:t>下风点</w:t>
            </w:r>
            <w:r>
              <w:rPr>
                <w:rFonts w:hint="eastAsia" w:ascii="宋体" w:hAnsi="宋体" w:cs="宋体"/>
                <w:color w:val="auto"/>
                <w:sz w:val="21"/>
                <w:szCs w:val="21"/>
              </w:rPr>
              <w:t>○</w:t>
            </w:r>
            <w:r>
              <w:rPr>
                <w:rFonts w:hint="eastAsia"/>
                <w:color w:val="auto"/>
                <w:sz w:val="21"/>
                <w:szCs w:val="21"/>
              </w:rPr>
              <w:t>2</w:t>
            </w:r>
          </w:p>
        </w:tc>
        <w:tc>
          <w:tcPr>
            <w:tcW w:w="1802" w:type="dxa"/>
            <w:vMerge w:val="continue"/>
            <w:vAlign w:val="center"/>
          </w:tcPr>
          <w:p>
            <w:pPr>
              <w:adjustRightInd w:val="0"/>
              <w:snapToGrid w:val="0"/>
              <w:ind w:firstLine="0" w:firstLineChars="0"/>
              <w:jc w:val="center"/>
              <w:rPr>
                <w:color w:val="auto"/>
                <w:sz w:val="21"/>
                <w:szCs w:val="21"/>
              </w:rPr>
            </w:pPr>
          </w:p>
        </w:tc>
        <w:tc>
          <w:tcPr>
            <w:tcW w:w="2173" w:type="dxa"/>
            <w:vMerge w:val="continue"/>
            <w:vAlign w:val="center"/>
          </w:tcPr>
          <w:p>
            <w:pPr>
              <w:adjustRightInd w:val="0"/>
              <w:snapToGrid w:val="0"/>
              <w:ind w:firstLine="0" w:firstLineChars="0"/>
              <w:jc w:val="center"/>
              <w:rPr>
                <w:color w:val="auto"/>
                <w:sz w:val="21"/>
                <w:szCs w:val="21"/>
              </w:rPr>
            </w:pPr>
          </w:p>
        </w:tc>
        <w:tc>
          <w:tcPr>
            <w:tcW w:w="2171" w:type="dxa"/>
            <w:vMerge w:val="continue"/>
          </w:tcPr>
          <w:p>
            <w:pPr>
              <w:adjustRightInd w:val="0"/>
              <w:snapToGrid w:val="0"/>
              <w:ind w:firstLine="0" w:firstLineChars="0"/>
              <w:jc w:val="center"/>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4" w:hRule="atLeast"/>
          <w:jc w:val="center"/>
        </w:trPr>
        <w:tc>
          <w:tcPr>
            <w:tcW w:w="522" w:type="dxa"/>
            <w:vMerge w:val="continue"/>
            <w:vAlign w:val="center"/>
          </w:tcPr>
          <w:p>
            <w:pPr>
              <w:adjustRightInd w:val="0"/>
              <w:snapToGrid w:val="0"/>
              <w:ind w:firstLine="0" w:firstLineChars="0"/>
              <w:jc w:val="center"/>
              <w:rPr>
                <w:color w:val="auto"/>
                <w:sz w:val="21"/>
                <w:szCs w:val="21"/>
              </w:rPr>
            </w:pPr>
          </w:p>
        </w:tc>
        <w:tc>
          <w:tcPr>
            <w:tcW w:w="1854" w:type="dxa"/>
            <w:vAlign w:val="center"/>
          </w:tcPr>
          <w:p>
            <w:pPr>
              <w:adjustRightInd w:val="0"/>
              <w:spacing w:line="300" w:lineRule="exact"/>
              <w:ind w:firstLine="0" w:firstLineChars="0"/>
              <w:jc w:val="center"/>
              <w:rPr>
                <w:color w:val="auto"/>
                <w:sz w:val="21"/>
                <w:szCs w:val="21"/>
              </w:rPr>
            </w:pPr>
            <w:r>
              <w:rPr>
                <w:rFonts w:hint="eastAsia"/>
                <w:color w:val="auto"/>
                <w:sz w:val="21"/>
                <w:szCs w:val="21"/>
              </w:rPr>
              <w:t>厂界</w:t>
            </w:r>
            <w:r>
              <w:rPr>
                <w:color w:val="auto"/>
                <w:sz w:val="21"/>
                <w:szCs w:val="21"/>
              </w:rPr>
              <w:t>下风点</w:t>
            </w:r>
            <w:r>
              <w:rPr>
                <w:rFonts w:hint="eastAsia" w:ascii="宋体" w:hAnsi="宋体" w:cs="宋体"/>
                <w:color w:val="auto"/>
                <w:sz w:val="21"/>
                <w:szCs w:val="21"/>
              </w:rPr>
              <w:t>○</w:t>
            </w:r>
            <w:r>
              <w:rPr>
                <w:rFonts w:hint="eastAsia"/>
                <w:color w:val="auto"/>
                <w:sz w:val="21"/>
                <w:szCs w:val="21"/>
              </w:rPr>
              <w:t>3</w:t>
            </w:r>
          </w:p>
        </w:tc>
        <w:tc>
          <w:tcPr>
            <w:tcW w:w="1802" w:type="dxa"/>
            <w:vMerge w:val="continue"/>
            <w:vAlign w:val="center"/>
          </w:tcPr>
          <w:p>
            <w:pPr>
              <w:adjustRightInd w:val="0"/>
              <w:snapToGrid w:val="0"/>
              <w:ind w:firstLine="0" w:firstLineChars="0"/>
              <w:jc w:val="center"/>
              <w:rPr>
                <w:color w:val="auto"/>
                <w:sz w:val="21"/>
                <w:szCs w:val="21"/>
              </w:rPr>
            </w:pPr>
          </w:p>
        </w:tc>
        <w:tc>
          <w:tcPr>
            <w:tcW w:w="2173" w:type="dxa"/>
            <w:vMerge w:val="continue"/>
            <w:vAlign w:val="center"/>
          </w:tcPr>
          <w:p>
            <w:pPr>
              <w:adjustRightInd w:val="0"/>
              <w:snapToGrid w:val="0"/>
              <w:ind w:firstLine="0" w:firstLineChars="0"/>
              <w:jc w:val="center"/>
              <w:rPr>
                <w:color w:val="auto"/>
                <w:sz w:val="21"/>
                <w:szCs w:val="21"/>
              </w:rPr>
            </w:pPr>
          </w:p>
        </w:tc>
        <w:tc>
          <w:tcPr>
            <w:tcW w:w="2171" w:type="dxa"/>
            <w:vMerge w:val="continue"/>
          </w:tcPr>
          <w:p>
            <w:pPr>
              <w:adjustRightInd w:val="0"/>
              <w:snapToGrid w:val="0"/>
              <w:ind w:firstLine="0" w:firstLineChars="0"/>
              <w:jc w:val="center"/>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4" w:hRule="atLeast"/>
          <w:jc w:val="center"/>
        </w:trPr>
        <w:tc>
          <w:tcPr>
            <w:tcW w:w="522" w:type="dxa"/>
            <w:vMerge w:val="continue"/>
            <w:vAlign w:val="center"/>
          </w:tcPr>
          <w:p>
            <w:pPr>
              <w:adjustRightInd w:val="0"/>
              <w:snapToGrid w:val="0"/>
              <w:ind w:firstLine="0" w:firstLineChars="0"/>
              <w:jc w:val="center"/>
              <w:rPr>
                <w:color w:val="auto"/>
                <w:sz w:val="21"/>
                <w:szCs w:val="21"/>
              </w:rPr>
            </w:pPr>
          </w:p>
        </w:tc>
        <w:tc>
          <w:tcPr>
            <w:tcW w:w="1854" w:type="dxa"/>
            <w:vAlign w:val="center"/>
          </w:tcPr>
          <w:p>
            <w:pPr>
              <w:adjustRightInd w:val="0"/>
              <w:spacing w:line="300" w:lineRule="exact"/>
              <w:ind w:firstLine="0" w:firstLineChars="0"/>
              <w:jc w:val="center"/>
              <w:rPr>
                <w:color w:val="auto"/>
                <w:sz w:val="21"/>
                <w:szCs w:val="21"/>
              </w:rPr>
            </w:pPr>
            <w:r>
              <w:rPr>
                <w:rFonts w:hint="eastAsia"/>
                <w:color w:val="auto"/>
                <w:sz w:val="21"/>
                <w:szCs w:val="21"/>
              </w:rPr>
              <w:t>厂界</w:t>
            </w:r>
            <w:r>
              <w:rPr>
                <w:color w:val="auto"/>
                <w:sz w:val="21"/>
                <w:szCs w:val="21"/>
              </w:rPr>
              <w:t>下风点</w:t>
            </w:r>
            <w:r>
              <w:rPr>
                <w:rFonts w:hint="eastAsia" w:ascii="宋体" w:hAnsi="宋体" w:cs="宋体"/>
                <w:color w:val="auto"/>
                <w:sz w:val="21"/>
                <w:szCs w:val="21"/>
              </w:rPr>
              <w:t>○</w:t>
            </w:r>
            <w:r>
              <w:rPr>
                <w:rFonts w:hint="eastAsia"/>
                <w:color w:val="auto"/>
                <w:sz w:val="21"/>
                <w:szCs w:val="21"/>
              </w:rPr>
              <w:t>4</w:t>
            </w:r>
          </w:p>
        </w:tc>
        <w:tc>
          <w:tcPr>
            <w:tcW w:w="1802" w:type="dxa"/>
            <w:vMerge w:val="continue"/>
            <w:vAlign w:val="center"/>
          </w:tcPr>
          <w:p>
            <w:pPr>
              <w:adjustRightInd w:val="0"/>
              <w:snapToGrid w:val="0"/>
              <w:ind w:firstLine="0" w:firstLineChars="0"/>
              <w:jc w:val="center"/>
              <w:rPr>
                <w:color w:val="auto"/>
                <w:sz w:val="21"/>
                <w:szCs w:val="21"/>
              </w:rPr>
            </w:pPr>
          </w:p>
        </w:tc>
        <w:tc>
          <w:tcPr>
            <w:tcW w:w="2173" w:type="dxa"/>
            <w:vMerge w:val="continue"/>
            <w:vAlign w:val="center"/>
          </w:tcPr>
          <w:p>
            <w:pPr>
              <w:adjustRightInd w:val="0"/>
              <w:snapToGrid w:val="0"/>
              <w:ind w:firstLine="0" w:firstLineChars="0"/>
              <w:jc w:val="center"/>
              <w:rPr>
                <w:color w:val="auto"/>
                <w:sz w:val="21"/>
                <w:szCs w:val="21"/>
              </w:rPr>
            </w:pPr>
          </w:p>
        </w:tc>
        <w:tc>
          <w:tcPr>
            <w:tcW w:w="2171" w:type="dxa"/>
            <w:vMerge w:val="continue"/>
          </w:tcPr>
          <w:p>
            <w:pPr>
              <w:adjustRightInd w:val="0"/>
              <w:snapToGrid w:val="0"/>
              <w:ind w:firstLine="0" w:firstLineChars="0"/>
              <w:jc w:val="center"/>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4" w:hRule="atLeast"/>
          <w:jc w:val="center"/>
        </w:trPr>
        <w:tc>
          <w:tcPr>
            <w:tcW w:w="522" w:type="dxa"/>
            <w:vMerge w:val="continue"/>
            <w:vAlign w:val="center"/>
          </w:tcPr>
          <w:p>
            <w:pPr>
              <w:adjustRightInd w:val="0"/>
              <w:snapToGrid w:val="0"/>
              <w:ind w:firstLine="0" w:firstLineChars="0"/>
              <w:jc w:val="center"/>
              <w:rPr>
                <w:color w:val="auto"/>
                <w:sz w:val="21"/>
                <w:szCs w:val="21"/>
              </w:rPr>
            </w:pPr>
          </w:p>
        </w:tc>
        <w:tc>
          <w:tcPr>
            <w:tcW w:w="1854" w:type="dxa"/>
            <w:vAlign w:val="center"/>
          </w:tcPr>
          <w:p>
            <w:pPr>
              <w:adjustRightInd w:val="0"/>
              <w:spacing w:line="300" w:lineRule="exact"/>
              <w:ind w:firstLine="0" w:firstLineChars="0"/>
              <w:jc w:val="center"/>
              <w:rPr>
                <w:color w:val="auto"/>
                <w:sz w:val="21"/>
                <w:szCs w:val="21"/>
              </w:rPr>
            </w:pPr>
            <w:r>
              <w:rPr>
                <w:rFonts w:hint="eastAsia"/>
                <w:color w:val="auto"/>
                <w:sz w:val="21"/>
                <w:szCs w:val="21"/>
              </w:rPr>
              <w:t>加油站站内</w:t>
            </w:r>
            <w:r>
              <w:rPr>
                <w:rFonts w:hint="eastAsia" w:ascii="宋体" w:hAnsi="宋体" w:cs="宋体"/>
                <w:color w:val="auto"/>
                <w:sz w:val="21"/>
                <w:szCs w:val="21"/>
              </w:rPr>
              <w:t>○</w:t>
            </w:r>
            <w:r>
              <w:rPr>
                <w:color w:val="auto"/>
                <w:sz w:val="21"/>
                <w:szCs w:val="21"/>
              </w:rPr>
              <w:t>5</w:t>
            </w:r>
          </w:p>
        </w:tc>
        <w:tc>
          <w:tcPr>
            <w:tcW w:w="1802" w:type="dxa"/>
            <w:vMerge w:val="continue"/>
            <w:vAlign w:val="center"/>
          </w:tcPr>
          <w:p>
            <w:pPr>
              <w:adjustRightInd w:val="0"/>
              <w:snapToGrid w:val="0"/>
              <w:ind w:firstLine="0" w:firstLineChars="0"/>
              <w:jc w:val="center"/>
              <w:rPr>
                <w:color w:val="auto"/>
                <w:sz w:val="21"/>
                <w:szCs w:val="21"/>
              </w:rPr>
            </w:pPr>
          </w:p>
        </w:tc>
        <w:tc>
          <w:tcPr>
            <w:tcW w:w="2173" w:type="dxa"/>
            <w:vMerge w:val="continue"/>
            <w:vAlign w:val="center"/>
          </w:tcPr>
          <w:p>
            <w:pPr>
              <w:adjustRightInd w:val="0"/>
              <w:snapToGrid w:val="0"/>
              <w:ind w:firstLine="0" w:firstLineChars="0"/>
              <w:jc w:val="center"/>
              <w:rPr>
                <w:color w:val="auto"/>
                <w:sz w:val="21"/>
                <w:szCs w:val="21"/>
              </w:rPr>
            </w:pPr>
          </w:p>
        </w:tc>
        <w:tc>
          <w:tcPr>
            <w:tcW w:w="2171" w:type="dxa"/>
            <w:vMerge w:val="continue"/>
          </w:tcPr>
          <w:p>
            <w:pPr>
              <w:adjustRightInd w:val="0"/>
              <w:snapToGrid w:val="0"/>
              <w:ind w:firstLine="0" w:firstLineChars="0"/>
              <w:jc w:val="center"/>
              <w:rPr>
                <w:color w:val="auto"/>
                <w:sz w:val="21"/>
                <w:szCs w:val="21"/>
              </w:rPr>
            </w:pPr>
          </w:p>
        </w:tc>
      </w:tr>
    </w:tbl>
    <w:p>
      <w:pPr>
        <w:pStyle w:val="3"/>
        <w:rPr>
          <w:color w:val="auto"/>
        </w:rPr>
      </w:pPr>
      <w:bookmarkStart w:id="74" w:name="_Toc1657"/>
      <w:r>
        <w:rPr>
          <w:rFonts w:hint="eastAsia"/>
          <w:color w:val="auto"/>
        </w:rPr>
        <w:t>厂界噪声监测</w:t>
      </w:r>
      <w:bookmarkEnd w:id="74"/>
    </w:p>
    <w:p>
      <w:pPr>
        <w:pStyle w:val="35"/>
        <w:rPr>
          <w:color w:val="auto"/>
        </w:rPr>
      </w:pPr>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color w:val="auto"/>
        </w:rPr>
        <w:t>7.3</w:t>
      </w:r>
      <w:r>
        <w:rPr>
          <w:color w:val="auto"/>
        </w:rPr>
        <w:fldChar w:fldCharType="end"/>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1</w:t>
      </w:r>
      <w:r>
        <w:rPr>
          <w:color w:val="auto"/>
        </w:rPr>
        <w:fldChar w:fldCharType="end"/>
      </w:r>
      <w:r>
        <w:rPr>
          <w:color w:val="auto"/>
        </w:rPr>
        <w:t xml:space="preserve"> </w:t>
      </w:r>
      <w:r>
        <w:rPr>
          <w:rFonts w:hint="eastAsia"/>
          <w:color w:val="auto"/>
        </w:rPr>
        <w:t>噪声监测点一览表</w:t>
      </w:r>
    </w:p>
    <w:tbl>
      <w:tblPr>
        <w:tblStyle w:val="22"/>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86"/>
        <w:gridCol w:w="2207"/>
        <w:gridCol w:w="2700"/>
        <w:gridCol w:w="18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86" w:type="dxa"/>
            <w:tcBorders>
              <w:top w:val="single" w:color="auto" w:sz="4" w:space="0"/>
              <w:left w:val="single" w:color="auto" w:sz="4" w:space="0"/>
              <w:bottom w:val="single" w:color="auto" w:sz="4" w:space="0"/>
              <w:right w:val="single" w:color="auto" w:sz="4" w:space="0"/>
            </w:tcBorders>
            <w:vAlign w:val="center"/>
          </w:tcPr>
          <w:p>
            <w:pPr>
              <w:pStyle w:val="8"/>
              <w:ind w:firstLine="0" w:firstLineChars="0"/>
              <w:jc w:val="center"/>
              <w:rPr>
                <w:color w:val="auto"/>
                <w:sz w:val="21"/>
                <w:szCs w:val="21"/>
              </w:rPr>
            </w:pPr>
            <w:r>
              <w:rPr>
                <w:rFonts w:hint="eastAsia"/>
                <w:color w:val="auto"/>
                <w:sz w:val="21"/>
                <w:szCs w:val="21"/>
              </w:rPr>
              <w:t>编号</w:t>
            </w:r>
          </w:p>
        </w:tc>
        <w:tc>
          <w:tcPr>
            <w:tcW w:w="2207" w:type="dxa"/>
            <w:tcBorders>
              <w:top w:val="single" w:color="auto" w:sz="4" w:space="0"/>
              <w:left w:val="single" w:color="auto" w:sz="4" w:space="0"/>
              <w:bottom w:val="single" w:color="auto" w:sz="4" w:space="0"/>
              <w:right w:val="single" w:color="auto" w:sz="4" w:space="0"/>
            </w:tcBorders>
            <w:vAlign w:val="center"/>
          </w:tcPr>
          <w:p>
            <w:pPr>
              <w:pStyle w:val="8"/>
              <w:ind w:firstLine="0" w:firstLineChars="0"/>
              <w:jc w:val="center"/>
              <w:rPr>
                <w:color w:val="auto"/>
                <w:sz w:val="21"/>
                <w:szCs w:val="21"/>
              </w:rPr>
            </w:pPr>
            <w:r>
              <w:rPr>
                <w:rFonts w:hint="eastAsia"/>
                <w:color w:val="auto"/>
                <w:sz w:val="21"/>
                <w:szCs w:val="21"/>
              </w:rPr>
              <w:t>监测点位</w:t>
            </w:r>
          </w:p>
        </w:tc>
        <w:tc>
          <w:tcPr>
            <w:tcW w:w="2700" w:type="dxa"/>
            <w:tcBorders>
              <w:top w:val="single" w:color="auto" w:sz="4" w:space="0"/>
              <w:left w:val="single" w:color="auto" w:sz="4" w:space="0"/>
              <w:bottom w:val="single" w:color="auto" w:sz="4" w:space="0"/>
              <w:right w:val="single" w:color="auto" w:sz="4" w:space="0"/>
            </w:tcBorders>
            <w:vAlign w:val="center"/>
          </w:tcPr>
          <w:p>
            <w:pPr>
              <w:pStyle w:val="8"/>
              <w:ind w:firstLine="0" w:firstLineChars="0"/>
              <w:jc w:val="center"/>
              <w:rPr>
                <w:color w:val="auto"/>
                <w:sz w:val="21"/>
                <w:szCs w:val="21"/>
              </w:rPr>
            </w:pPr>
            <w:r>
              <w:rPr>
                <w:rFonts w:hint="eastAsia"/>
                <w:color w:val="auto"/>
                <w:sz w:val="21"/>
                <w:szCs w:val="21"/>
              </w:rPr>
              <w:t>监测项目</w:t>
            </w:r>
          </w:p>
        </w:tc>
        <w:tc>
          <w:tcPr>
            <w:tcW w:w="1829" w:type="dxa"/>
            <w:tcBorders>
              <w:top w:val="single" w:color="auto" w:sz="4" w:space="0"/>
              <w:left w:val="single" w:color="auto" w:sz="4" w:space="0"/>
              <w:bottom w:val="single" w:color="auto" w:sz="4" w:space="0"/>
              <w:right w:val="single" w:color="auto" w:sz="4" w:space="0"/>
            </w:tcBorders>
            <w:vAlign w:val="center"/>
          </w:tcPr>
          <w:p>
            <w:pPr>
              <w:pStyle w:val="8"/>
              <w:ind w:firstLine="0" w:firstLineChars="0"/>
              <w:jc w:val="center"/>
              <w:rPr>
                <w:color w:val="auto"/>
                <w:sz w:val="21"/>
                <w:szCs w:val="21"/>
              </w:rPr>
            </w:pPr>
            <w:r>
              <w:rPr>
                <w:rFonts w:hint="eastAsia"/>
                <w:color w:val="auto"/>
                <w:sz w:val="21"/>
                <w:szCs w:val="21"/>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86" w:type="dxa"/>
            <w:tcBorders>
              <w:top w:val="single" w:color="auto" w:sz="4" w:space="0"/>
              <w:left w:val="single" w:color="auto" w:sz="4" w:space="0"/>
              <w:bottom w:val="single" w:color="auto" w:sz="4" w:space="0"/>
              <w:right w:val="single" w:color="auto" w:sz="4" w:space="0"/>
            </w:tcBorders>
            <w:vAlign w:val="center"/>
          </w:tcPr>
          <w:p>
            <w:pPr>
              <w:pStyle w:val="8"/>
              <w:ind w:firstLine="0" w:firstLineChars="0"/>
              <w:jc w:val="center"/>
              <w:rPr>
                <w:color w:val="auto"/>
                <w:sz w:val="21"/>
                <w:szCs w:val="21"/>
              </w:rPr>
            </w:pPr>
            <w:r>
              <w:rPr>
                <w:rFonts w:hint="eastAsia"/>
                <w:color w:val="auto"/>
                <w:sz w:val="21"/>
                <w:szCs w:val="21"/>
              </w:rPr>
              <w:t>1#</w:t>
            </w:r>
          </w:p>
        </w:tc>
        <w:tc>
          <w:tcPr>
            <w:tcW w:w="220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ind w:firstLine="0" w:firstLineChars="0"/>
              <w:jc w:val="center"/>
              <w:rPr>
                <w:color w:val="auto"/>
                <w:sz w:val="21"/>
                <w:szCs w:val="21"/>
              </w:rPr>
            </w:pPr>
            <w:r>
              <w:rPr>
                <w:rFonts w:hint="eastAsia"/>
                <w:color w:val="auto"/>
                <w:sz w:val="21"/>
                <w:szCs w:val="21"/>
              </w:rPr>
              <w:t>项目东面外</w:t>
            </w:r>
            <w:r>
              <w:rPr>
                <w:color w:val="auto"/>
                <w:sz w:val="21"/>
                <w:szCs w:val="21"/>
              </w:rPr>
              <w:t>1</w:t>
            </w:r>
            <w:r>
              <w:rPr>
                <w:rFonts w:hint="eastAsia"/>
                <w:color w:val="auto"/>
                <w:sz w:val="21"/>
                <w:szCs w:val="21"/>
              </w:rPr>
              <w:t>米处</w:t>
            </w:r>
          </w:p>
        </w:tc>
        <w:tc>
          <w:tcPr>
            <w:tcW w:w="2700" w:type="dxa"/>
            <w:vMerge w:val="restart"/>
            <w:tcBorders>
              <w:top w:val="single" w:color="auto" w:sz="4" w:space="0"/>
              <w:left w:val="single" w:color="auto" w:sz="4" w:space="0"/>
              <w:right w:val="single" w:color="auto" w:sz="4" w:space="0"/>
            </w:tcBorders>
            <w:vAlign w:val="center"/>
          </w:tcPr>
          <w:p>
            <w:pPr>
              <w:pStyle w:val="8"/>
              <w:ind w:firstLine="0" w:firstLineChars="0"/>
              <w:jc w:val="center"/>
              <w:rPr>
                <w:color w:val="auto"/>
                <w:sz w:val="21"/>
                <w:szCs w:val="21"/>
              </w:rPr>
            </w:pPr>
            <w:r>
              <w:rPr>
                <w:rFonts w:hint="eastAsia"/>
                <w:color w:val="auto"/>
                <w:sz w:val="21"/>
                <w:szCs w:val="21"/>
              </w:rPr>
              <w:t>等效连续</w:t>
            </w:r>
            <w:r>
              <w:rPr>
                <w:color w:val="auto"/>
                <w:sz w:val="21"/>
                <w:szCs w:val="21"/>
              </w:rPr>
              <w:t>A</w:t>
            </w:r>
            <w:r>
              <w:rPr>
                <w:rFonts w:hint="eastAsia"/>
                <w:color w:val="auto"/>
                <w:sz w:val="21"/>
                <w:szCs w:val="21"/>
              </w:rPr>
              <w:t>声级</w:t>
            </w:r>
            <w:r>
              <w:rPr>
                <w:color w:val="auto"/>
                <w:sz w:val="21"/>
                <w:szCs w:val="21"/>
              </w:rPr>
              <w:t>Leq (A)</w:t>
            </w:r>
          </w:p>
        </w:tc>
        <w:tc>
          <w:tcPr>
            <w:tcW w:w="1829" w:type="dxa"/>
            <w:vMerge w:val="restart"/>
            <w:tcBorders>
              <w:top w:val="single" w:color="auto" w:sz="4" w:space="0"/>
              <w:left w:val="single" w:color="auto" w:sz="4" w:space="0"/>
              <w:right w:val="single" w:color="auto" w:sz="4" w:space="0"/>
            </w:tcBorders>
            <w:vAlign w:val="center"/>
          </w:tcPr>
          <w:p>
            <w:pPr>
              <w:pStyle w:val="8"/>
              <w:ind w:firstLine="0" w:firstLineChars="0"/>
              <w:jc w:val="center"/>
              <w:rPr>
                <w:color w:val="auto"/>
                <w:sz w:val="21"/>
                <w:szCs w:val="21"/>
              </w:rPr>
            </w:pPr>
            <w:r>
              <w:rPr>
                <w:rFonts w:hint="eastAsia"/>
                <w:color w:val="auto"/>
                <w:sz w:val="21"/>
                <w:szCs w:val="21"/>
              </w:rPr>
              <w:t>连续监测</w:t>
            </w:r>
            <w:r>
              <w:rPr>
                <w:color w:val="auto"/>
                <w:sz w:val="21"/>
                <w:szCs w:val="21"/>
              </w:rPr>
              <w:t>2</w:t>
            </w:r>
            <w:r>
              <w:rPr>
                <w:rFonts w:hint="eastAsia"/>
                <w:color w:val="auto"/>
                <w:sz w:val="21"/>
                <w:szCs w:val="21"/>
              </w:rPr>
              <w:t>天，每天昼、夜各监测</w:t>
            </w:r>
            <w:r>
              <w:rPr>
                <w:color w:val="auto"/>
                <w:sz w:val="21"/>
                <w:szCs w:val="21"/>
              </w:rPr>
              <w:t>1</w:t>
            </w:r>
            <w:r>
              <w:rPr>
                <w:rFonts w:hint="eastAsia"/>
                <w:color w:val="auto"/>
                <w:sz w:val="21"/>
                <w:szCs w:val="21"/>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86" w:type="dxa"/>
            <w:tcBorders>
              <w:top w:val="single" w:color="auto" w:sz="4" w:space="0"/>
              <w:left w:val="single" w:color="auto" w:sz="4" w:space="0"/>
              <w:bottom w:val="single" w:color="auto" w:sz="4" w:space="0"/>
              <w:right w:val="single" w:color="auto" w:sz="4" w:space="0"/>
            </w:tcBorders>
            <w:vAlign w:val="center"/>
          </w:tcPr>
          <w:p>
            <w:pPr>
              <w:ind w:firstLine="0" w:firstLineChars="0"/>
              <w:jc w:val="center"/>
              <w:rPr>
                <w:color w:val="auto"/>
                <w:sz w:val="21"/>
                <w:szCs w:val="21"/>
              </w:rPr>
            </w:pPr>
            <w:r>
              <w:rPr>
                <w:rFonts w:hint="eastAsia"/>
                <w:color w:val="auto"/>
                <w:sz w:val="21"/>
                <w:szCs w:val="21"/>
              </w:rPr>
              <w:t>2#</w:t>
            </w:r>
          </w:p>
        </w:tc>
        <w:tc>
          <w:tcPr>
            <w:tcW w:w="220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ind w:firstLine="0" w:firstLineChars="0"/>
              <w:jc w:val="center"/>
              <w:rPr>
                <w:color w:val="auto"/>
                <w:sz w:val="21"/>
                <w:szCs w:val="21"/>
              </w:rPr>
            </w:pPr>
            <w:r>
              <w:rPr>
                <w:rFonts w:hint="eastAsia"/>
                <w:color w:val="auto"/>
                <w:sz w:val="21"/>
                <w:szCs w:val="21"/>
              </w:rPr>
              <w:t>项目南面外</w:t>
            </w:r>
            <w:r>
              <w:rPr>
                <w:color w:val="auto"/>
                <w:sz w:val="21"/>
                <w:szCs w:val="21"/>
              </w:rPr>
              <w:t>1</w:t>
            </w:r>
            <w:r>
              <w:rPr>
                <w:rFonts w:hint="eastAsia"/>
                <w:color w:val="auto"/>
                <w:sz w:val="21"/>
                <w:szCs w:val="21"/>
              </w:rPr>
              <w:t>米处</w:t>
            </w:r>
          </w:p>
        </w:tc>
        <w:tc>
          <w:tcPr>
            <w:tcW w:w="2700" w:type="dxa"/>
            <w:vMerge w:val="continue"/>
            <w:tcBorders>
              <w:left w:val="single" w:color="auto" w:sz="4" w:space="0"/>
              <w:right w:val="single" w:color="auto" w:sz="4" w:space="0"/>
            </w:tcBorders>
            <w:vAlign w:val="center"/>
          </w:tcPr>
          <w:p>
            <w:pPr>
              <w:widowControl/>
              <w:ind w:firstLine="0" w:firstLineChars="0"/>
              <w:jc w:val="left"/>
              <w:rPr>
                <w:color w:val="auto"/>
                <w:sz w:val="21"/>
                <w:szCs w:val="21"/>
              </w:rPr>
            </w:pPr>
          </w:p>
        </w:tc>
        <w:tc>
          <w:tcPr>
            <w:tcW w:w="1829" w:type="dxa"/>
            <w:vMerge w:val="continue"/>
            <w:tcBorders>
              <w:left w:val="single" w:color="auto" w:sz="4" w:space="0"/>
              <w:right w:val="single" w:color="auto" w:sz="4" w:space="0"/>
            </w:tcBorders>
            <w:vAlign w:val="center"/>
          </w:tcPr>
          <w:p>
            <w:pPr>
              <w:widowControl/>
              <w:ind w:firstLine="0" w:firstLineChars="0"/>
              <w:jc w:val="left"/>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86" w:type="dxa"/>
            <w:tcBorders>
              <w:top w:val="single" w:color="auto" w:sz="4" w:space="0"/>
              <w:left w:val="single" w:color="auto" w:sz="4" w:space="0"/>
              <w:bottom w:val="single" w:color="auto" w:sz="4" w:space="0"/>
              <w:right w:val="single" w:color="auto" w:sz="4" w:space="0"/>
            </w:tcBorders>
            <w:vAlign w:val="center"/>
          </w:tcPr>
          <w:p>
            <w:pPr>
              <w:ind w:firstLine="0" w:firstLineChars="0"/>
              <w:jc w:val="center"/>
              <w:rPr>
                <w:color w:val="auto"/>
                <w:sz w:val="21"/>
                <w:szCs w:val="21"/>
              </w:rPr>
            </w:pPr>
            <w:r>
              <w:rPr>
                <w:rFonts w:hint="eastAsia"/>
                <w:color w:val="auto"/>
                <w:sz w:val="21"/>
                <w:szCs w:val="21"/>
              </w:rPr>
              <w:t>3#</w:t>
            </w:r>
          </w:p>
        </w:tc>
        <w:tc>
          <w:tcPr>
            <w:tcW w:w="220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ind w:firstLine="0" w:firstLineChars="0"/>
              <w:jc w:val="center"/>
              <w:rPr>
                <w:color w:val="auto"/>
                <w:sz w:val="21"/>
                <w:szCs w:val="21"/>
              </w:rPr>
            </w:pPr>
            <w:r>
              <w:rPr>
                <w:rFonts w:hint="eastAsia"/>
                <w:color w:val="auto"/>
                <w:sz w:val="21"/>
                <w:szCs w:val="21"/>
              </w:rPr>
              <w:t>项目西面外</w:t>
            </w:r>
            <w:r>
              <w:rPr>
                <w:color w:val="auto"/>
                <w:sz w:val="21"/>
                <w:szCs w:val="21"/>
              </w:rPr>
              <w:t>1</w:t>
            </w:r>
            <w:r>
              <w:rPr>
                <w:rFonts w:hint="eastAsia"/>
                <w:color w:val="auto"/>
                <w:sz w:val="21"/>
                <w:szCs w:val="21"/>
              </w:rPr>
              <w:t>米处</w:t>
            </w:r>
          </w:p>
        </w:tc>
        <w:tc>
          <w:tcPr>
            <w:tcW w:w="2700" w:type="dxa"/>
            <w:vMerge w:val="continue"/>
            <w:tcBorders>
              <w:left w:val="single" w:color="auto" w:sz="4" w:space="0"/>
              <w:right w:val="single" w:color="auto" w:sz="4" w:space="0"/>
            </w:tcBorders>
            <w:vAlign w:val="center"/>
          </w:tcPr>
          <w:p>
            <w:pPr>
              <w:widowControl/>
              <w:ind w:firstLine="0" w:firstLineChars="0"/>
              <w:jc w:val="left"/>
              <w:rPr>
                <w:color w:val="auto"/>
                <w:sz w:val="21"/>
                <w:szCs w:val="21"/>
              </w:rPr>
            </w:pPr>
          </w:p>
        </w:tc>
        <w:tc>
          <w:tcPr>
            <w:tcW w:w="1829" w:type="dxa"/>
            <w:vMerge w:val="continue"/>
            <w:tcBorders>
              <w:left w:val="single" w:color="auto" w:sz="4" w:space="0"/>
              <w:right w:val="single" w:color="auto" w:sz="4" w:space="0"/>
            </w:tcBorders>
            <w:vAlign w:val="center"/>
          </w:tcPr>
          <w:p>
            <w:pPr>
              <w:widowControl/>
              <w:ind w:firstLine="0" w:firstLineChars="0"/>
              <w:jc w:val="left"/>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86" w:type="dxa"/>
            <w:tcBorders>
              <w:top w:val="single" w:color="auto" w:sz="4" w:space="0"/>
              <w:left w:val="single" w:color="auto" w:sz="4" w:space="0"/>
              <w:bottom w:val="single" w:color="auto" w:sz="4" w:space="0"/>
              <w:right w:val="single" w:color="auto" w:sz="4" w:space="0"/>
            </w:tcBorders>
            <w:vAlign w:val="center"/>
          </w:tcPr>
          <w:p>
            <w:pPr>
              <w:ind w:firstLine="0" w:firstLineChars="0"/>
              <w:jc w:val="center"/>
              <w:rPr>
                <w:color w:val="auto"/>
                <w:sz w:val="21"/>
                <w:szCs w:val="21"/>
              </w:rPr>
            </w:pPr>
            <w:r>
              <w:rPr>
                <w:rFonts w:hint="eastAsia"/>
                <w:color w:val="auto"/>
                <w:sz w:val="21"/>
                <w:szCs w:val="21"/>
              </w:rPr>
              <w:t>4#</w:t>
            </w:r>
          </w:p>
        </w:tc>
        <w:tc>
          <w:tcPr>
            <w:tcW w:w="220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ind w:firstLine="0" w:firstLineChars="0"/>
              <w:jc w:val="center"/>
              <w:rPr>
                <w:color w:val="auto"/>
                <w:sz w:val="21"/>
                <w:szCs w:val="21"/>
              </w:rPr>
            </w:pPr>
            <w:r>
              <w:rPr>
                <w:rFonts w:hint="eastAsia"/>
                <w:color w:val="auto"/>
                <w:sz w:val="21"/>
                <w:szCs w:val="21"/>
              </w:rPr>
              <w:t>项目北面外</w:t>
            </w:r>
            <w:r>
              <w:rPr>
                <w:color w:val="auto"/>
                <w:sz w:val="21"/>
                <w:szCs w:val="21"/>
              </w:rPr>
              <w:t>1</w:t>
            </w:r>
            <w:r>
              <w:rPr>
                <w:rFonts w:hint="eastAsia"/>
                <w:color w:val="auto"/>
                <w:sz w:val="21"/>
                <w:szCs w:val="21"/>
              </w:rPr>
              <w:t>米处</w:t>
            </w:r>
          </w:p>
        </w:tc>
        <w:tc>
          <w:tcPr>
            <w:tcW w:w="2700" w:type="dxa"/>
            <w:vMerge w:val="continue"/>
            <w:tcBorders>
              <w:left w:val="single" w:color="auto" w:sz="4" w:space="0"/>
              <w:right w:val="single" w:color="auto" w:sz="4" w:space="0"/>
            </w:tcBorders>
            <w:vAlign w:val="center"/>
          </w:tcPr>
          <w:p>
            <w:pPr>
              <w:widowControl/>
              <w:ind w:firstLine="0" w:firstLineChars="0"/>
              <w:jc w:val="left"/>
              <w:rPr>
                <w:color w:val="auto"/>
                <w:sz w:val="21"/>
                <w:szCs w:val="21"/>
              </w:rPr>
            </w:pPr>
          </w:p>
        </w:tc>
        <w:tc>
          <w:tcPr>
            <w:tcW w:w="1829" w:type="dxa"/>
            <w:vMerge w:val="continue"/>
            <w:tcBorders>
              <w:left w:val="single" w:color="auto" w:sz="4" w:space="0"/>
              <w:right w:val="single" w:color="auto" w:sz="4" w:space="0"/>
            </w:tcBorders>
            <w:vAlign w:val="center"/>
          </w:tcPr>
          <w:p>
            <w:pPr>
              <w:widowControl/>
              <w:ind w:firstLine="0" w:firstLineChars="0"/>
              <w:jc w:val="left"/>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86" w:type="dxa"/>
            <w:tcBorders>
              <w:top w:val="single" w:color="auto" w:sz="4" w:space="0"/>
              <w:left w:val="single" w:color="auto" w:sz="4" w:space="0"/>
              <w:bottom w:val="single" w:color="auto" w:sz="4" w:space="0"/>
              <w:right w:val="single" w:color="auto" w:sz="4" w:space="0"/>
            </w:tcBorders>
            <w:vAlign w:val="center"/>
          </w:tcPr>
          <w:p>
            <w:pPr>
              <w:ind w:firstLine="0" w:firstLineChars="0"/>
              <w:jc w:val="center"/>
              <w:rPr>
                <w:color w:val="auto"/>
                <w:sz w:val="21"/>
                <w:szCs w:val="21"/>
              </w:rPr>
            </w:pPr>
            <w:r>
              <w:rPr>
                <w:rFonts w:hint="eastAsia"/>
                <w:color w:val="auto"/>
                <w:sz w:val="21"/>
                <w:szCs w:val="21"/>
              </w:rPr>
              <w:t>5</w:t>
            </w:r>
            <w:r>
              <w:rPr>
                <w:color w:val="auto"/>
                <w:sz w:val="21"/>
                <w:szCs w:val="21"/>
              </w:rPr>
              <w:t>#</w:t>
            </w:r>
          </w:p>
        </w:tc>
        <w:tc>
          <w:tcPr>
            <w:tcW w:w="220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ind w:firstLine="0" w:firstLineChars="0"/>
              <w:jc w:val="center"/>
              <w:rPr>
                <w:color w:val="auto"/>
                <w:sz w:val="21"/>
                <w:szCs w:val="21"/>
              </w:rPr>
            </w:pPr>
            <w:r>
              <w:rPr>
                <w:rFonts w:hint="eastAsia"/>
                <w:color w:val="auto"/>
                <w:sz w:val="21"/>
                <w:szCs w:val="21"/>
              </w:rPr>
              <w:t>中梁公园壹号（距离项目东面2</w:t>
            </w:r>
            <w:r>
              <w:rPr>
                <w:color w:val="auto"/>
                <w:sz w:val="21"/>
                <w:szCs w:val="21"/>
              </w:rPr>
              <w:t>8</w:t>
            </w:r>
            <w:r>
              <w:rPr>
                <w:rFonts w:hint="eastAsia"/>
                <w:color w:val="auto"/>
                <w:sz w:val="21"/>
                <w:szCs w:val="21"/>
              </w:rPr>
              <w:t>m处）</w:t>
            </w:r>
          </w:p>
        </w:tc>
        <w:tc>
          <w:tcPr>
            <w:tcW w:w="2700" w:type="dxa"/>
            <w:vMerge w:val="continue"/>
            <w:tcBorders>
              <w:left w:val="single" w:color="auto" w:sz="4" w:space="0"/>
              <w:bottom w:val="single" w:color="auto" w:sz="4" w:space="0"/>
              <w:right w:val="single" w:color="auto" w:sz="4" w:space="0"/>
            </w:tcBorders>
            <w:vAlign w:val="center"/>
          </w:tcPr>
          <w:p>
            <w:pPr>
              <w:widowControl/>
              <w:ind w:firstLine="0" w:firstLineChars="0"/>
              <w:jc w:val="left"/>
              <w:rPr>
                <w:color w:val="auto"/>
                <w:sz w:val="21"/>
                <w:szCs w:val="21"/>
              </w:rPr>
            </w:pPr>
          </w:p>
        </w:tc>
        <w:tc>
          <w:tcPr>
            <w:tcW w:w="1829" w:type="dxa"/>
            <w:vMerge w:val="continue"/>
            <w:tcBorders>
              <w:left w:val="single" w:color="auto" w:sz="4" w:space="0"/>
              <w:bottom w:val="single" w:color="auto" w:sz="4" w:space="0"/>
              <w:right w:val="single" w:color="auto" w:sz="4" w:space="0"/>
            </w:tcBorders>
            <w:vAlign w:val="center"/>
          </w:tcPr>
          <w:p>
            <w:pPr>
              <w:widowControl/>
              <w:ind w:firstLine="0" w:firstLineChars="0"/>
              <w:jc w:val="left"/>
              <w:rPr>
                <w:color w:val="auto"/>
                <w:sz w:val="21"/>
                <w:szCs w:val="21"/>
              </w:rPr>
            </w:pPr>
          </w:p>
        </w:tc>
      </w:tr>
    </w:tbl>
    <w:p>
      <w:pPr>
        <w:pStyle w:val="3"/>
        <w:numPr>
          <w:ilvl w:val="0"/>
          <w:numId w:val="0"/>
        </w:numPr>
        <w:ind w:left="113"/>
        <w:rPr>
          <w:color w:val="auto"/>
        </w:rPr>
      </w:pPr>
      <w:bookmarkStart w:id="75" w:name="_Toc22521"/>
      <w:r>
        <w:rPr>
          <w:rFonts w:hint="eastAsia"/>
          <w:color w:val="auto"/>
        </w:rPr>
        <w:t>7.4 油气回收</w:t>
      </w:r>
      <w:bookmarkEnd w:id="75"/>
    </w:p>
    <w:p>
      <w:pPr>
        <w:pStyle w:val="35"/>
        <w:rPr>
          <w:color w:val="auto"/>
        </w:rPr>
      </w:pPr>
      <w:r>
        <w:rPr>
          <w:rFonts w:hint="eastAsia"/>
          <w:color w:val="auto"/>
        </w:rPr>
        <w:t>表7.4</w:t>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1</w:t>
      </w:r>
      <w:r>
        <w:rPr>
          <w:color w:val="auto"/>
        </w:rPr>
        <w:fldChar w:fldCharType="end"/>
      </w:r>
      <w:r>
        <w:rPr>
          <w:color w:val="auto"/>
        </w:rPr>
        <w:t xml:space="preserve"> </w:t>
      </w:r>
      <w:r>
        <w:rPr>
          <w:rFonts w:hint="eastAsia"/>
          <w:color w:val="auto"/>
        </w:rPr>
        <w:t>油气回收监测点一览表</w:t>
      </w:r>
    </w:p>
    <w:tbl>
      <w:tblPr>
        <w:tblStyle w:val="22"/>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03"/>
        <w:gridCol w:w="3431"/>
        <w:gridCol w:w="1614"/>
        <w:gridCol w:w="19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shd w:val="clear" w:color="auto" w:fill="auto"/>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验收项目</w:t>
            </w:r>
          </w:p>
        </w:tc>
        <w:tc>
          <w:tcPr>
            <w:tcW w:w="3431" w:type="dxa"/>
            <w:shd w:val="clear" w:color="auto" w:fill="auto"/>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监测点位</w:t>
            </w:r>
          </w:p>
        </w:tc>
        <w:tc>
          <w:tcPr>
            <w:tcW w:w="1614" w:type="dxa"/>
            <w:shd w:val="clear" w:color="auto" w:fill="auto"/>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监测因子</w:t>
            </w:r>
          </w:p>
        </w:tc>
        <w:tc>
          <w:tcPr>
            <w:tcW w:w="1974" w:type="dxa"/>
            <w:shd w:val="clear" w:color="auto" w:fill="auto"/>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cs="Times New Roman"/>
                <w:color w:val="auto"/>
                <w:kern w:val="44"/>
                <w:sz w:val="18"/>
                <w:szCs w:val="21"/>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restart"/>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油气回收</w:t>
            </w:r>
          </w:p>
        </w:tc>
        <w:tc>
          <w:tcPr>
            <w:tcW w:w="3431" w:type="dxa"/>
            <w:vAlign w:val="center"/>
          </w:tcPr>
          <w:p>
            <w:pPr>
              <w:wordWrap w:val="0"/>
              <w:topLinePunct/>
              <w:adjustRightInd w:val="0"/>
              <w:snapToGrid w:val="0"/>
              <w:spacing w:line="0" w:lineRule="atLeast"/>
              <w:ind w:firstLine="0" w:firstLineChars="0"/>
              <w:jc w:val="center"/>
              <w:rPr>
                <w:rFonts w:cs="Times New Roman"/>
                <w:b/>
                <w:bCs/>
                <w:color w:val="auto"/>
                <w:kern w:val="44"/>
                <w:sz w:val="18"/>
                <w:szCs w:val="21"/>
              </w:rPr>
            </w:pPr>
            <w:r>
              <w:rPr>
                <w:rFonts w:hint="eastAsia" w:cs="Times New Roman"/>
                <w:b/>
                <w:bCs/>
                <w:color w:val="auto"/>
                <w:kern w:val="44"/>
                <w:sz w:val="18"/>
                <w:szCs w:val="21"/>
              </w:rPr>
              <w:t>加油机编号</w:t>
            </w:r>
          </w:p>
        </w:tc>
        <w:tc>
          <w:tcPr>
            <w:tcW w:w="1614" w:type="dxa"/>
            <w:vAlign w:val="center"/>
          </w:tcPr>
          <w:p>
            <w:pPr>
              <w:wordWrap w:val="0"/>
              <w:topLinePunct/>
              <w:adjustRightInd w:val="0"/>
              <w:snapToGrid w:val="0"/>
              <w:spacing w:line="0" w:lineRule="atLeast"/>
              <w:ind w:firstLine="0" w:firstLineChars="0"/>
              <w:jc w:val="center"/>
              <w:rPr>
                <w:rFonts w:cs="Times New Roman"/>
                <w:b/>
                <w:bCs/>
                <w:color w:val="auto"/>
                <w:kern w:val="44"/>
                <w:sz w:val="18"/>
                <w:szCs w:val="21"/>
              </w:rPr>
            </w:pPr>
            <w:r>
              <w:rPr>
                <w:rFonts w:hint="eastAsia" w:cs="Times New Roman"/>
                <w:b/>
                <w:bCs/>
                <w:color w:val="auto"/>
                <w:kern w:val="44"/>
                <w:sz w:val="18"/>
                <w:szCs w:val="21"/>
              </w:rPr>
              <w:t>/</w:t>
            </w:r>
          </w:p>
        </w:tc>
        <w:tc>
          <w:tcPr>
            <w:tcW w:w="1974" w:type="dxa"/>
            <w:vAlign w:val="center"/>
          </w:tcPr>
          <w:p>
            <w:pPr>
              <w:wordWrap w:val="0"/>
              <w:topLinePunct/>
              <w:adjustRightInd w:val="0"/>
              <w:snapToGrid w:val="0"/>
              <w:spacing w:line="0" w:lineRule="atLeast"/>
              <w:ind w:firstLine="0" w:firstLineChars="0"/>
              <w:jc w:val="center"/>
              <w:rPr>
                <w:rFonts w:cs="Times New Roman"/>
                <w:b/>
                <w:bCs/>
                <w:color w:val="auto"/>
                <w:kern w:val="44"/>
                <w:sz w:val="18"/>
                <w:szCs w:val="21"/>
              </w:rPr>
            </w:pPr>
            <w:r>
              <w:rPr>
                <w:rFonts w:hint="eastAsia" w:cs="Times New Roman"/>
                <w:b/>
                <w:bCs/>
                <w:color w:val="auto"/>
                <w:kern w:val="44"/>
                <w:sz w:val="18"/>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1号加油机</w:t>
            </w:r>
          </w:p>
        </w:tc>
        <w:tc>
          <w:tcPr>
            <w:tcW w:w="1614" w:type="dxa"/>
            <w:vMerge w:val="restart"/>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液阻</w:t>
            </w:r>
          </w:p>
        </w:tc>
        <w:tc>
          <w:tcPr>
            <w:tcW w:w="1974" w:type="dxa"/>
            <w:vMerge w:val="restart"/>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检测1天，每天1次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2号加油机</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3号加油机</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4号加油机</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5号加油机</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6号加油机</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b/>
                <w:bCs/>
                <w:color w:val="auto"/>
                <w:kern w:val="44"/>
                <w:sz w:val="18"/>
                <w:szCs w:val="21"/>
              </w:rPr>
              <w:t>油气回收系统</w:t>
            </w:r>
          </w:p>
        </w:tc>
        <w:tc>
          <w:tcPr>
            <w:tcW w:w="1614"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密闭性</w:t>
            </w:r>
          </w:p>
        </w:tc>
        <w:tc>
          <w:tcPr>
            <w:tcW w:w="1974"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检测1天，每天1次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b/>
                <w:bCs/>
                <w:color w:val="auto"/>
                <w:kern w:val="44"/>
                <w:sz w:val="18"/>
                <w:szCs w:val="21"/>
              </w:rPr>
            </w:pPr>
            <w:r>
              <w:rPr>
                <w:rFonts w:hint="eastAsia" w:cs="Times New Roman"/>
                <w:b/>
                <w:bCs/>
                <w:color w:val="auto"/>
                <w:kern w:val="44"/>
                <w:sz w:val="18"/>
                <w:szCs w:val="21"/>
              </w:rPr>
              <w:t>加油枪编号</w:t>
            </w:r>
          </w:p>
        </w:tc>
        <w:tc>
          <w:tcPr>
            <w:tcW w:w="1614" w:type="dxa"/>
            <w:vAlign w:val="center"/>
          </w:tcPr>
          <w:p>
            <w:pPr>
              <w:wordWrap w:val="0"/>
              <w:topLinePunct/>
              <w:adjustRightInd w:val="0"/>
              <w:snapToGrid w:val="0"/>
              <w:spacing w:line="0" w:lineRule="atLeast"/>
              <w:ind w:firstLine="0" w:firstLineChars="0"/>
              <w:jc w:val="center"/>
              <w:rPr>
                <w:rFonts w:cs="Times New Roman"/>
                <w:b/>
                <w:bCs/>
                <w:color w:val="auto"/>
                <w:kern w:val="44"/>
                <w:sz w:val="18"/>
                <w:szCs w:val="21"/>
              </w:rPr>
            </w:pPr>
            <w:r>
              <w:rPr>
                <w:rFonts w:hint="eastAsia" w:cs="Times New Roman"/>
                <w:b/>
                <w:bCs/>
                <w:color w:val="auto"/>
                <w:kern w:val="44"/>
                <w:sz w:val="18"/>
                <w:szCs w:val="21"/>
              </w:rPr>
              <w:t>/</w:t>
            </w:r>
          </w:p>
        </w:tc>
        <w:tc>
          <w:tcPr>
            <w:tcW w:w="1974" w:type="dxa"/>
            <w:vAlign w:val="center"/>
          </w:tcPr>
          <w:p>
            <w:pPr>
              <w:wordWrap w:val="0"/>
              <w:topLinePunct/>
              <w:adjustRightInd w:val="0"/>
              <w:snapToGrid w:val="0"/>
              <w:spacing w:line="0" w:lineRule="atLeast"/>
              <w:ind w:firstLine="0" w:firstLineChars="0"/>
              <w:jc w:val="center"/>
              <w:rPr>
                <w:rFonts w:cs="Times New Roman"/>
                <w:b/>
                <w:bCs/>
                <w:color w:val="auto"/>
                <w:kern w:val="44"/>
                <w:sz w:val="18"/>
                <w:szCs w:val="21"/>
              </w:rPr>
            </w:pPr>
            <w:r>
              <w:rPr>
                <w:rFonts w:hint="eastAsia" w:cs="Times New Roman"/>
                <w:b/>
                <w:bCs/>
                <w:color w:val="auto"/>
                <w:kern w:val="44"/>
                <w:sz w:val="18"/>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1</w:t>
            </w:r>
            <w:r>
              <w:rPr>
                <w:rFonts w:cs="Times New Roman"/>
                <w:color w:val="auto"/>
                <w:kern w:val="44"/>
                <w:sz w:val="18"/>
                <w:szCs w:val="21"/>
              </w:rPr>
              <w:t>-</w:t>
            </w:r>
            <w:r>
              <w:rPr>
                <w:rFonts w:hint="eastAsia" w:cs="Times New Roman"/>
                <w:color w:val="auto"/>
                <w:kern w:val="44"/>
                <w:sz w:val="18"/>
                <w:szCs w:val="21"/>
              </w:rPr>
              <w:t>1（92#）</w:t>
            </w:r>
          </w:p>
        </w:tc>
        <w:tc>
          <w:tcPr>
            <w:tcW w:w="1614" w:type="dxa"/>
            <w:vMerge w:val="restart"/>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气液比</w:t>
            </w:r>
          </w:p>
        </w:tc>
        <w:tc>
          <w:tcPr>
            <w:tcW w:w="1974" w:type="dxa"/>
            <w:vMerge w:val="restart"/>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检测1天，每天1次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1</w:t>
            </w:r>
            <w:r>
              <w:rPr>
                <w:rFonts w:cs="Times New Roman"/>
                <w:color w:val="auto"/>
                <w:kern w:val="44"/>
                <w:sz w:val="18"/>
                <w:szCs w:val="21"/>
              </w:rPr>
              <w:t>-</w:t>
            </w:r>
            <w:r>
              <w:rPr>
                <w:rFonts w:hint="eastAsia" w:cs="Times New Roman"/>
                <w:color w:val="auto"/>
                <w:kern w:val="44"/>
                <w:sz w:val="18"/>
                <w:szCs w:val="21"/>
              </w:rPr>
              <w:t>2（95#）</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1</w:t>
            </w:r>
            <w:r>
              <w:rPr>
                <w:rFonts w:cs="Times New Roman"/>
                <w:color w:val="auto"/>
                <w:kern w:val="44"/>
                <w:sz w:val="18"/>
                <w:szCs w:val="21"/>
              </w:rPr>
              <w:t>-</w:t>
            </w:r>
            <w:r>
              <w:rPr>
                <w:rFonts w:hint="eastAsia" w:cs="Times New Roman"/>
                <w:color w:val="auto"/>
                <w:kern w:val="44"/>
                <w:sz w:val="18"/>
                <w:szCs w:val="21"/>
              </w:rPr>
              <w:t>4（92#）</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1-5（95#）</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2-8（95#）</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2-9（92#）</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2-11（95#）</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2-12（92#）</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3-13（98#）</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3-14（95#）</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3-16（98#）</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3-17（95#）</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4-19（92#）</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4-20（95#）</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4-21（98#）</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4-22（92#）</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4-23（95#）</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4-24（98#）</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5-25（92#）</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5-26（95#）</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5-27（98#）</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5-28（92#）</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5-29（95#）</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5-30（98#）</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6-31（92#）</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6-32（95#）</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6-33（98#）</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6-34（92#）</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6-35（95#）</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503"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3431" w:type="dxa"/>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r>
              <w:rPr>
                <w:rFonts w:hint="eastAsia" w:cs="Times New Roman"/>
                <w:color w:val="auto"/>
                <w:kern w:val="44"/>
                <w:sz w:val="18"/>
                <w:szCs w:val="21"/>
              </w:rPr>
              <w:t>6-36（98#）</w:t>
            </w:r>
          </w:p>
        </w:tc>
        <w:tc>
          <w:tcPr>
            <w:tcW w:w="161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c>
          <w:tcPr>
            <w:tcW w:w="1974" w:type="dxa"/>
            <w:vMerge w:val="continue"/>
            <w:vAlign w:val="center"/>
          </w:tcPr>
          <w:p>
            <w:pPr>
              <w:wordWrap w:val="0"/>
              <w:topLinePunct/>
              <w:adjustRightInd w:val="0"/>
              <w:snapToGrid w:val="0"/>
              <w:spacing w:line="0" w:lineRule="atLeast"/>
              <w:ind w:firstLine="0" w:firstLineChars="0"/>
              <w:jc w:val="center"/>
              <w:rPr>
                <w:rFonts w:cs="Times New Roman"/>
                <w:color w:val="auto"/>
                <w:kern w:val="44"/>
                <w:sz w:val="18"/>
                <w:szCs w:val="21"/>
              </w:rPr>
            </w:pPr>
          </w:p>
        </w:tc>
      </w:tr>
    </w:tbl>
    <w:p>
      <w:pPr>
        <w:pStyle w:val="2"/>
        <w:rPr>
          <w:color w:val="auto"/>
        </w:rPr>
        <w:sectPr>
          <w:pgSz w:w="11906" w:h="16838"/>
          <w:pgMar w:top="1440" w:right="1800" w:bottom="1440" w:left="1800" w:header="851" w:footer="992" w:gutter="0"/>
          <w:cols w:space="425" w:num="1"/>
          <w:docGrid w:type="lines" w:linePitch="312" w:charSpace="0"/>
        </w:sectPr>
      </w:pPr>
    </w:p>
    <w:p>
      <w:pPr>
        <w:pStyle w:val="2"/>
        <w:rPr>
          <w:color w:val="auto"/>
        </w:rPr>
      </w:pPr>
      <w:bookmarkStart w:id="76" w:name="_Toc21560"/>
      <w:r>
        <w:rPr>
          <w:rFonts w:hint="eastAsia"/>
          <w:color w:val="auto"/>
        </w:rPr>
        <w:t>质量保证和质量控制</w:t>
      </w:r>
      <w:bookmarkEnd w:id="76"/>
    </w:p>
    <w:p>
      <w:pPr>
        <w:pStyle w:val="3"/>
        <w:rPr>
          <w:color w:val="auto"/>
        </w:rPr>
      </w:pPr>
      <w:bookmarkStart w:id="77" w:name="_Toc5333"/>
      <w:r>
        <w:rPr>
          <w:rFonts w:hint="eastAsia"/>
          <w:color w:val="auto"/>
        </w:rPr>
        <w:t>监测分析方法</w:t>
      </w:r>
      <w:bookmarkEnd w:id="77"/>
    </w:p>
    <w:p>
      <w:pPr>
        <w:pStyle w:val="35"/>
        <w:snapToGrid w:val="0"/>
        <w:rPr>
          <w:color w:val="auto"/>
        </w:rPr>
      </w:pPr>
      <w:bookmarkStart w:id="78" w:name="_Toc73538411"/>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color w:val="auto"/>
        </w:rPr>
        <w:t>8.1</w:t>
      </w:r>
      <w:r>
        <w:rPr>
          <w:color w:val="auto"/>
        </w:rPr>
        <w:fldChar w:fldCharType="end"/>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1</w:t>
      </w:r>
      <w:r>
        <w:rPr>
          <w:color w:val="auto"/>
        </w:rPr>
        <w:fldChar w:fldCharType="end"/>
      </w:r>
      <w:r>
        <w:rPr>
          <w:rFonts w:hint="eastAsia"/>
          <w:color w:val="auto"/>
        </w:rPr>
        <w:t>监测项目及分析方法</w:t>
      </w:r>
    </w:p>
    <w:tbl>
      <w:tblPr>
        <w:tblStyle w:val="22"/>
        <w:tblpPr w:leftFromText="180" w:rightFromText="180" w:vertAnchor="text" w:horzAnchor="page" w:tblpXSpec="center" w:tblpY="349"/>
        <w:tblOverlap w:val="never"/>
        <w:tblW w:w="8522" w:type="dxa"/>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86"/>
        <w:gridCol w:w="1885"/>
        <w:gridCol w:w="3171"/>
        <w:gridCol w:w="1335"/>
        <w:gridCol w:w="1145"/>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67" w:hRule="atLeast"/>
          <w:tblHeader/>
        </w:trPr>
        <w:tc>
          <w:tcPr>
            <w:tcW w:w="986" w:type="dxa"/>
            <w:vAlign w:val="center"/>
          </w:tcPr>
          <w:p>
            <w:pPr>
              <w:spacing w:line="300" w:lineRule="exact"/>
              <w:ind w:firstLine="0" w:firstLineChars="0"/>
              <w:jc w:val="center"/>
              <w:rPr>
                <w:rFonts w:cs="Times New Roman"/>
                <w:b/>
                <w:bCs/>
                <w:color w:val="auto"/>
                <w:kern w:val="0"/>
                <w:szCs w:val="24"/>
                <w:lang w:bidi="ar"/>
              </w:rPr>
            </w:pPr>
            <w:r>
              <w:rPr>
                <w:rFonts w:cs="Times New Roman"/>
                <w:b/>
                <w:bCs/>
                <w:color w:val="auto"/>
                <w:kern w:val="0"/>
                <w:szCs w:val="24"/>
                <w:lang w:bidi="ar"/>
              </w:rPr>
              <w:t>检测项目</w:t>
            </w:r>
          </w:p>
        </w:tc>
        <w:tc>
          <w:tcPr>
            <w:tcW w:w="1885" w:type="dxa"/>
            <w:vAlign w:val="center"/>
          </w:tcPr>
          <w:p>
            <w:pPr>
              <w:spacing w:line="300" w:lineRule="exact"/>
              <w:ind w:firstLine="0" w:firstLineChars="0"/>
              <w:jc w:val="center"/>
              <w:rPr>
                <w:rFonts w:cs="Times New Roman"/>
                <w:b/>
                <w:bCs/>
                <w:color w:val="auto"/>
                <w:kern w:val="0"/>
                <w:szCs w:val="24"/>
                <w:lang w:bidi="ar"/>
              </w:rPr>
            </w:pPr>
            <w:r>
              <w:rPr>
                <w:rFonts w:cs="Times New Roman"/>
                <w:b/>
                <w:bCs/>
                <w:color w:val="auto"/>
                <w:kern w:val="0"/>
                <w:szCs w:val="24"/>
                <w:lang w:bidi="ar"/>
              </w:rPr>
              <w:t>方法编号(含年号)</w:t>
            </w:r>
          </w:p>
        </w:tc>
        <w:tc>
          <w:tcPr>
            <w:tcW w:w="3171" w:type="dxa"/>
            <w:vAlign w:val="center"/>
          </w:tcPr>
          <w:p>
            <w:pPr>
              <w:spacing w:line="300" w:lineRule="exact"/>
              <w:ind w:firstLine="0" w:firstLineChars="0"/>
              <w:jc w:val="center"/>
              <w:rPr>
                <w:rFonts w:cs="Times New Roman"/>
                <w:b/>
                <w:bCs/>
                <w:color w:val="auto"/>
                <w:kern w:val="0"/>
                <w:szCs w:val="24"/>
                <w:lang w:bidi="ar"/>
              </w:rPr>
            </w:pPr>
            <w:r>
              <w:rPr>
                <w:rFonts w:cs="Times New Roman"/>
                <w:b/>
                <w:bCs/>
                <w:color w:val="auto"/>
                <w:kern w:val="0"/>
                <w:szCs w:val="24"/>
                <w:lang w:bidi="ar"/>
              </w:rPr>
              <w:t>检测依据</w:t>
            </w:r>
          </w:p>
        </w:tc>
        <w:tc>
          <w:tcPr>
            <w:tcW w:w="1335" w:type="dxa"/>
            <w:vAlign w:val="center"/>
          </w:tcPr>
          <w:p>
            <w:pPr>
              <w:spacing w:line="300" w:lineRule="exact"/>
              <w:ind w:firstLine="0" w:firstLineChars="0"/>
              <w:jc w:val="center"/>
              <w:rPr>
                <w:rFonts w:cs="Times New Roman"/>
                <w:b/>
                <w:bCs/>
                <w:color w:val="auto"/>
                <w:kern w:val="0"/>
                <w:szCs w:val="24"/>
                <w:lang w:bidi="ar"/>
              </w:rPr>
            </w:pPr>
            <w:r>
              <w:rPr>
                <w:rFonts w:cs="Times New Roman"/>
                <w:b/>
                <w:bCs/>
                <w:color w:val="auto"/>
                <w:kern w:val="0"/>
                <w:szCs w:val="24"/>
                <w:lang w:bidi="ar"/>
              </w:rPr>
              <w:t>设备名称及型号</w:t>
            </w:r>
          </w:p>
        </w:tc>
        <w:tc>
          <w:tcPr>
            <w:tcW w:w="1145" w:type="dxa"/>
            <w:vAlign w:val="center"/>
          </w:tcPr>
          <w:p>
            <w:pPr>
              <w:spacing w:line="300" w:lineRule="exact"/>
              <w:ind w:firstLine="0" w:firstLineChars="0"/>
              <w:jc w:val="center"/>
              <w:rPr>
                <w:rFonts w:cs="Times New Roman"/>
                <w:b/>
                <w:bCs/>
                <w:color w:val="auto"/>
                <w:kern w:val="0"/>
                <w:szCs w:val="24"/>
                <w:lang w:bidi="ar"/>
              </w:rPr>
            </w:pPr>
            <w:r>
              <w:rPr>
                <w:rFonts w:cs="Times New Roman"/>
                <w:b/>
                <w:bCs/>
                <w:color w:val="auto"/>
                <w:kern w:val="0"/>
                <w:szCs w:val="24"/>
                <w:lang w:bidi="ar"/>
              </w:rPr>
              <w:t>检出限</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81" w:hRule="atLeast"/>
          <w:tblHeader/>
        </w:trPr>
        <w:tc>
          <w:tcPr>
            <w:tcW w:w="986"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噪声</w:t>
            </w:r>
          </w:p>
        </w:tc>
        <w:tc>
          <w:tcPr>
            <w:tcW w:w="188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GB12348-2008</w:t>
            </w:r>
          </w:p>
        </w:tc>
        <w:tc>
          <w:tcPr>
            <w:tcW w:w="3171"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《工业企业厂界环境噪声排放标准》</w:t>
            </w:r>
          </w:p>
        </w:tc>
        <w:tc>
          <w:tcPr>
            <w:tcW w:w="1335" w:type="dxa"/>
            <w:vAlign w:val="center"/>
          </w:tcPr>
          <w:p>
            <w:pPr>
              <w:spacing w:line="260" w:lineRule="exact"/>
              <w:ind w:firstLine="0" w:firstLineChars="0"/>
              <w:jc w:val="center"/>
              <w:rPr>
                <w:rFonts w:cs="Times New Roman"/>
                <w:color w:val="auto"/>
                <w:kern w:val="0"/>
                <w:sz w:val="21"/>
                <w:szCs w:val="21"/>
                <w:lang w:bidi="ar"/>
              </w:rPr>
            </w:pPr>
            <w:r>
              <w:rPr>
                <w:rFonts w:cs="Times New Roman"/>
                <w:color w:val="auto"/>
                <w:kern w:val="0"/>
                <w:sz w:val="21"/>
                <w:szCs w:val="21"/>
                <w:lang w:bidi="ar"/>
              </w:rPr>
              <w:t>多功能声级计AWA5688</w:t>
            </w:r>
          </w:p>
        </w:tc>
        <w:tc>
          <w:tcPr>
            <w:tcW w:w="1145" w:type="dxa"/>
            <w:vAlign w:val="center"/>
          </w:tcPr>
          <w:p>
            <w:pPr>
              <w:spacing w:line="240" w:lineRule="auto"/>
              <w:ind w:firstLine="0" w:firstLineChars="0"/>
              <w:jc w:val="center"/>
              <w:rPr>
                <w:rFonts w:cs="Times New Roman"/>
                <w:bCs/>
                <w:color w:val="auto"/>
                <w:sz w:val="21"/>
                <w:szCs w:val="21"/>
              </w:rPr>
            </w:pPr>
            <w:r>
              <w:rPr>
                <w:rFonts w:cs="Times New Roman"/>
                <w:color w:val="auto"/>
                <w:kern w:val="0"/>
                <w:sz w:val="21"/>
                <w:szCs w:val="21"/>
                <w:lang w:bidi="ar"/>
              </w:rPr>
              <w:t>35dB(A)</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81" w:hRule="atLeast"/>
          <w:tblHeader/>
        </w:trPr>
        <w:tc>
          <w:tcPr>
            <w:tcW w:w="986"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噪声</w:t>
            </w:r>
          </w:p>
        </w:tc>
        <w:tc>
          <w:tcPr>
            <w:tcW w:w="188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GB3096-2008</w:t>
            </w:r>
          </w:p>
        </w:tc>
        <w:tc>
          <w:tcPr>
            <w:tcW w:w="3171"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《声环境质量标准》</w:t>
            </w:r>
          </w:p>
        </w:tc>
        <w:tc>
          <w:tcPr>
            <w:tcW w:w="133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多功能声级计</w:t>
            </w:r>
          </w:p>
        </w:tc>
        <w:tc>
          <w:tcPr>
            <w:tcW w:w="114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35dB(A)</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96" w:hRule="atLeast"/>
          <w:tblHeader/>
        </w:trPr>
        <w:tc>
          <w:tcPr>
            <w:tcW w:w="986"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pH值</w:t>
            </w:r>
          </w:p>
        </w:tc>
        <w:tc>
          <w:tcPr>
            <w:tcW w:w="188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HJ1147-2020</w:t>
            </w:r>
          </w:p>
        </w:tc>
        <w:tc>
          <w:tcPr>
            <w:tcW w:w="3171"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《水质 pH值的测定 电极法》</w:t>
            </w:r>
          </w:p>
        </w:tc>
        <w:tc>
          <w:tcPr>
            <w:tcW w:w="133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pH计</w:t>
            </w:r>
          </w:p>
        </w:tc>
        <w:tc>
          <w:tcPr>
            <w:tcW w:w="1145" w:type="dxa"/>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lang w:bidi="ar"/>
              </w:rPr>
              <w:t>0.01</w:t>
            </w:r>
            <w:r>
              <w:rPr>
                <w:rFonts w:cs="Times New Roman"/>
                <w:color w:val="auto"/>
                <w:kern w:val="0"/>
                <w:sz w:val="18"/>
                <w:szCs w:val="18"/>
                <w:lang w:bidi="ar"/>
              </w:rPr>
              <w:t>（无量纲）</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79" w:hRule="atLeast"/>
          <w:tblHeader/>
        </w:trPr>
        <w:tc>
          <w:tcPr>
            <w:tcW w:w="986"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水温</w:t>
            </w:r>
          </w:p>
        </w:tc>
        <w:tc>
          <w:tcPr>
            <w:tcW w:w="188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GB/T13195-1991</w:t>
            </w:r>
          </w:p>
        </w:tc>
        <w:tc>
          <w:tcPr>
            <w:tcW w:w="3171"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《水质 水温的测定 温度计或颠倒温度计测定法》</w:t>
            </w:r>
          </w:p>
        </w:tc>
        <w:tc>
          <w:tcPr>
            <w:tcW w:w="133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温度计</w:t>
            </w:r>
          </w:p>
        </w:tc>
        <w:tc>
          <w:tcPr>
            <w:tcW w:w="114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36" w:hRule="atLeast"/>
          <w:tblHeader/>
        </w:trPr>
        <w:tc>
          <w:tcPr>
            <w:tcW w:w="986"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悬浮物</w:t>
            </w:r>
          </w:p>
        </w:tc>
        <w:tc>
          <w:tcPr>
            <w:tcW w:w="188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GB/T11901-1989</w:t>
            </w:r>
          </w:p>
        </w:tc>
        <w:tc>
          <w:tcPr>
            <w:tcW w:w="3171"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《水质 悬浮物的测定 重量法》</w:t>
            </w:r>
          </w:p>
        </w:tc>
        <w:tc>
          <w:tcPr>
            <w:tcW w:w="133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分析天平</w:t>
            </w:r>
          </w:p>
        </w:tc>
        <w:tc>
          <w:tcPr>
            <w:tcW w:w="1145" w:type="dxa"/>
            <w:vAlign w:val="center"/>
          </w:tcPr>
          <w:p>
            <w:pPr>
              <w:spacing w:line="240" w:lineRule="auto"/>
              <w:ind w:firstLine="0" w:firstLineChars="0"/>
              <w:jc w:val="center"/>
              <w:rPr>
                <w:rFonts w:cs="Times New Roman"/>
                <w:bCs/>
                <w:color w:val="auto"/>
                <w:sz w:val="21"/>
                <w:szCs w:val="21"/>
                <w:lang w:val="zh-CN" w:bidi="zh-CN"/>
              </w:rPr>
            </w:pPr>
            <w:r>
              <w:rPr>
                <w:rFonts w:cs="Times New Roman"/>
                <w:bCs/>
                <w:color w:val="auto"/>
                <w:sz w:val="21"/>
                <w:szCs w:val="21"/>
              </w:rPr>
              <w:t>4mg/L</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36" w:hRule="atLeast"/>
          <w:tblHeader/>
        </w:trPr>
        <w:tc>
          <w:tcPr>
            <w:tcW w:w="986"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化学需氧量</w:t>
            </w:r>
          </w:p>
        </w:tc>
        <w:tc>
          <w:tcPr>
            <w:tcW w:w="188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HJ828—2017</w:t>
            </w:r>
          </w:p>
        </w:tc>
        <w:tc>
          <w:tcPr>
            <w:tcW w:w="3171"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《水质 化学需氧量的测定 重铬酸盐法》</w:t>
            </w:r>
          </w:p>
        </w:tc>
        <w:tc>
          <w:tcPr>
            <w:tcW w:w="133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滴定管</w:t>
            </w:r>
          </w:p>
        </w:tc>
        <w:tc>
          <w:tcPr>
            <w:tcW w:w="1145" w:type="dxa"/>
            <w:vAlign w:val="center"/>
          </w:tcPr>
          <w:p>
            <w:pPr>
              <w:spacing w:line="240" w:lineRule="auto"/>
              <w:ind w:firstLine="0" w:firstLineChars="0"/>
              <w:jc w:val="center"/>
              <w:rPr>
                <w:rFonts w:cs="Times New Roman"/>
                <w:bCs/>
                <w:color w:val="auto"/>
                <w:sz w:val="21"/>
                <w:szCs w:val="21"/>
                <w:lang w:val="zh-CN" w:bidi="zh-CN"/>
              </w:rPr>
            </w:pPr>
            <w:r>
              <w:rPr>
                <w:rFonts w:cs="Times New Roman"/>
                <w:bCs/>
                <w:color w:val="auto"/>
                <w:sz w:val="21"/>
                <w:szCs w:val="21"/>
              </w:rPr>
              <w:t>4mg/L</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66" w:hRule="atLeast"/>
          <w:tblHeader/>
        </w:trPr>
        <w:tc>
          <w:tcPr>
            <w:tcW w:w="986"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五日生化需氧量</w:t>
            </w:r>
          </w:p>
        </w:tc>
        <w:tc>
          <w:tcPr>
            <w:tcW w:w="188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HJ505-2009</w:t>
            </w:r>
          </w:p>
        </w:tc>
        <w:tc>
          <w:tcPr>
            <w:tcW w:w="3171"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《水质 五日生化需氧量的测定 稀释与接种法》</w:t>
            </w:r>
          </w:p>
        </w:tc>
        <w:tc>
          <w:tcPr>
            <w:tcW w:w="133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生化培养箱</w:t>
            </w:r>
          </w:p>
        </w:tc>
        <w:tc>
          <w:tcPr>
            <w:tcW w:w="1145" w:type="dxa"/>
            <w:vAlign w:val="center"/>
          </w:tcPr>
          <w:p>
            <w:pPr>
              <w:spacing w:line="240" w:lineRule="auto"/>
              <w:ind w:firstLine="0" w:firstLineChars="0"/>
              <w:jc w:val="center"/>
              <w:rPr>
                <w:rFonts w:cs="Times New Roman"/>
                <w:color w:val="auto"/>
                <w:sz w:val="21"/>
                <w:szCs w:val="21"/>
              </w:rPr>
            </w:pPr>
            <w:r>
              <w:rPr>
                <w:rFonts w:cs="Times New Roman"/>
                <w:bCs/>
                <w:color w:val="auto"/>
                <w:sz w:val="21"/>
                <w:szCs w:val="21"/>
              </w:rPr>
              <w:t>0.5mg/L</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36" w:hRule="atLeast"/>
          <w:tblHeader/>
        </w:trPr>
        <w:tc>
          <w:tcPr>
            <w:tcW w:w="986"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氨氮</w:t>
            </w:r>
          </w:p>
        </w:tc>
        <w:tc>
          <w:tcPr>
            <w:tcW w:w="188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HJ535-2009</w:t>
            </w:r>
          </w:p>
        </w:tc>
        <w:tc>
          <w:tcPr>
            <w:tcW w:w="3171"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《水质 氨氮的测定 纳氏试剂分光光度法》</w:t>
            </w:r>
          </w:p>
        </w:tc>
        <w:tc>
          <w:tcPr>
            <w:tcW w:w="133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分光光度计</w:t>
            </w:r>
          </w:p>
        </w:tc>
        <w:tc>
          <w:tcPr>
            <w:tcW w:w="1145" w:type="dxa"/>
            <w:vAlign w:val="center"/>
          </w:tcPr>
          <w:p>
            <w:pPr>
              <w:spacing w:line="240" w:lineRule="auto"/>
              <w:ind w:firstLine="0" w:firstLineChars="0"/>
              <w:jc w:val="center"/>
              <w:rPr>
                <w:rFonts w:cs="Times New Roman"/>
                <w:bCs/>
                <w:color w:val="auto"/>
                <w:sz w:val="21"/>
                <w:szCs w:val="21"/>
              </w:rPr>
            </w:pPr>
            <w:r>
              <w:rPr>
                <w:rFonts w:cs="Times New Roman"/>
                <w:bCs/>
                <w:color w:val="auto"/>
                <w:sz w:val="21"/>
                <w:szCs w:val="21"/>
              </w:rPr>
              <w:t>0.025mg/L</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51" w:hRule="atLeast"/>
          <w:tblHeader/>
        </w:trPr>
        <w:tc>
          <w:tcPr>
            <w:tcW w:w="986"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LAS</w:t>
            </w:r>
          </w:p>
        </w:tc>
        <w:tc>
          <w:tcPr>
            <w:tcW w:w="188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GB/T7494-37-1987</w:t>
            </w:r>
          </w:p>
        </w:tc>
        <w:tc>
          <w:tcPr>
            <w:tcW w:w="3171"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《亚甲蓝分光光度法》</w:t>
            </w:r>
          </w:p>
        </w:tc>
        <w:tc>
          <w:tcPr>
            <w:tcW w:w="133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分光光度计</w:t>
            </w:r>
          </w:p>
        </w:tc>
        <w:tc>
          <w:tcPr>
            <w:tcW w:w="1145" w:type="dxa"/>
            <w:vAlign w:val="center"/>
          </w:tcPr>
          <w:p>
            <w:pPr>
              <w:spacing w:line="240" w:lineRule="auto"/>
              <w:ind w:firstLine="0" w:firstLineChars="0"/>
              <w:jc w:val="center"/>
              <w:rPr>
                <w:rFonts w:cs="Times New Roman"/>
                <w:bCs/>
                <w:color w:val="auto"/>
                <w:sz w:val="21"/>
                <w:szCs w:val="21"/>
              </w:rPr>
            </w:pPr>
            <w:r>
              <w:rPr>
                <w:rFonts w:cs="Times New Roman"/>
                <w:color w:val="auto"/>
                <w:kern w:val="0"/>
                <w:sz w:val="21"/>
                <w:szCs w:val="21"/>
                <w:lang w:bidi="ar"/>
              </w:rPr>
              <w:t>0.05mg/L</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96" w:hRule="atLeast"/>
          <w:tblHeader/>
        </w:trPr>
        <w:tc>
          <w:tcPr>
            <w:tcW w:w="986" w:type="dxa"/>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lang w:bidi="ar"/>
              </w:rPr>
              <w:t>石油类</w:t>
            </w:r>
          </w:p>
        </w:tc>
        <w:tc>
          <w:tcPr>
            <w:tcW w:w="1885" w:type="dxa"/>
            <w:vAlign w:val="center"/>
          </w:tcPr>
          <w:p>
            <w:pPr>
              <w:spacing w:line="240" w:lineRule="auto"/>
              <w:ind w:firstLine="0" w:firstLineChars="0"/>
              <w:jc w:val="center"/>
              <w:rPr>
                <w:rFonts w:cs="Times New Roman"/>
                <w:b/>
                <w:bCs/>
                <w:color w:val="auto"/>
                <w:kern w:val="0"/>
                <w:sz w:val="21"/>
                <w:szCs w:val="21"/>
                <w:lang w:bidi="ar"/>
              </w:rPr>
            </w:pPr>
            <w:r>
              <w:rPr>
                <w:rFonts w:cs="Times New Roman"/>
                <w:color w:val="auto"/>
                <w:kern w:val="0"/>
                <w:sz w:val="21"/>
                <w:szCs w:val="21"/>
                <w:lang w:bidi="ar"/>
              </w:rPr>
              <w:t>HJ970-2018</w:t>
            </w:r>
          </w:p>
        </w:tc>
        <w:tc>
          <w:tcPr>
            <w:tcW w:w="3171" w:type="dxa"/>
            <w:vAlign w:val="center"/>
          </w:tcPr>
          <w:p>
            <w:pPr>
              <w:spacing w:line="240" w:lineRule="auto"/>
              <w:ind w:firstLine="0" w:firstLineChars="0"/>
              <w:jc w:val="center"/>
              <w:rPr>
                <w:rFonts w:cs="Times New Roman"/>
                <w:b/>
                <w:bCs/>
                <w:color w:val="auto"/>
                <w:kern w:val="0"/>
                <w:sz w:val="21"/>
                <w:szCs w:val="21"/>
                <w:lang w:bidi="ar"/>
              </w:rPr>
            </w:pPr>
            <w:r>
              <w:rPr>
                <w:rFonts w:cs="Times New Roman"/>
                <w:color w:val="auto"/>
                <w:kern w:val="0"/>
                <w:sz w:val="21"/>
                <w:szCs w:val="21"/>
                <w:lang w:bidi="ar"/>
              </w:rPr>
              <w:t>《水质 石油类的测定 紫外分光光度法（试行）》</w:t>
            </w:r>
          </w:p>
        </w:tc>
        <w:tc>
          <w:tcPr>
            <w:tcW w:w="1335"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紫外分光光度计</w:t>
            </w:r>
          </w:p>
        </w:tc>
        <w:tc>
          <w:tcPr>
            <w:tcW w:w="1145" w:type="dxa"/>
            <w:vAlign w:val="center"/>
          </w:tcPr>
          <w:p>
            <w:pPr>
              <w:spacing w:line="240" w:lineRule="auto"/>
              <w:ind w:firstLine="0" w:firstLineChars="0"/>
              <w:jc w:val="center"/>
              <w:rPr>
                <w:rFonts w:cs="Times New Roman"/>
                <w:bCs/>
                <w:color w:val="auto"/>
                <w:sz w:val="21"/>
                <w:szCs w:val="21"/>
              </w:rPr>
            </w:pPr>
            <w:r>
              <w:rPr>
                <w:rFonts w:cs="Times New Roman"/>
                <w:color w:val="auto"/>
                <w:kern w:val="0"/>
                <w:sz w:val="21"/>
                <w:szCs w:val="21"/>
                <w:lang w:bidi="ar"/>
              </w:rPr>
              <w:t>0.01mg/L</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626" w:hRule="atLeast"/>
          <w:tblHeader/>
        </w:trPr>
        <w:tc>
          <w:tcPr>
            <w:tcW w:w="986"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sz w:val="21"/>
                <w:szCs w:val="21"/>
              </w:rPr>
              <w:t>非甲烷总烃</w:t>
            </w:r>
          </w:p>
        </w:tc>
        <w:tc>
          <w:tcPr>
            <w:tcW w:w="1885" w:type="dxa"/>
            <w:vAlign w:val="center"/>
          </w:tcPr>
          <w:p>
            <w:pPr>
              <w:spacing w:line="280" w:lineRule="exact"/>
              <w:ind w:firstLine="0" w:firstLineChars="0"/>
              <w:jc w:val="center"/>
              <w:rPr>
                <w:rFonts w:cs="Times New Roman"/>
                <w:color w:val="auto"/>
                <w:kern w:val="0"/>
                <w:sz w:val="21"/>
                <w:szCs w:val="21"/>
                <w:lang w:bidi="ar"/>
              </w:rPr>
            </w:pPr>
            <w:r>
              <w:rPr>
                <w:rFonts w:cs="Times New Roman"/>
                <w:color w:val="auto"/>
                <w:kern w:val="0"/>
                <w:sz w:val="21"/>
                <w:szCs w:val="21"/>
                <w:lang w:bidi="ar"/>
              </w:rPr>
              <w:t>HJ604-2017</w:t>
            </w:r>
          </w:p>
        </w:tc>
        <w:tc>
          <w:tcPr>
            <w:tcW w:w="3171" w:type="dxa"/>
            <w:vAlign w:val="center"/>
          </w:tcPr>
          <w:p>
            <w:pPr>
              <w:spacing w:line="280" w:lineRule="exact"/>
              <w:ind w:firstLine="0" w:firstLineChars="0"/>
              <w:jc w:val="center"/>
              <w:rPr>
                <w:rFonts w:cs="Times New Roman"/>
                <w:color w:val="auto"/>
                <w:kern w:val="0"/>
                <w:sz w:val="21"/>
                <w:szCs w:val="21"/>
                <w:lang w:bidi="ar"/>
              </w:rPr>
            </w:pPr>
            <w:r>
              <w:rPr>
                <w:rFonts w:cs="Times New Roman"/>
                <w:color w:val="auto"/>
                <w:kern w:val="0"/>
                <w:sz w:val="21"/>
                <w:szCs w:val="21"/>
                <w:lang w:bidi="ar"/>
              </w:rPr>
              <w:t>《环境空气 总烃、甲烷和非甲烷总烃的测定 直接进样-气相色谱法》</w:t>
            </w:r>
          </w:p>
        </w:tc>
        <w:tc>
          <w:tcPr>
            <w:tcW w:w="1335" w:type="dxa"/>
            <w:vAlign w:val="center"/>
          </w:tcPr>
          <w:p>
            <w:pPr>
              <w:spacing w:line="280" w:lineRule="exact"/>
              <w:ind w:firstLine="0" w:firstLineChars="0"/>
              <w:jc w:val="center"/>
              <w:rPr>
                <w:rFonts w:cs="Times New Roman"/>
                <w:color w:val="auto"/>
                <w:kern w:val="0"/>
                <w:sz w:val="21"/>
                <w:szCs w:val="21"/>
                <w:lang w:bidi="ar"/>
              </w:rPr>
            </w:pPr>
            <w:r>
              <w:rPr>
                <w:rFonts w:cs="Times New Roman"/>
                <w:color w:val="auto"/>
                <w:kern w:val="0"/>
                <w:sz w:val="21"/>
                <w:szCs w:val="21"/>
                <w:lang w:bidi="ar"/>
              </w:rPr>
              <w:t>气相色谱仪</w:t>
            </w:r>
          </w:p>
        </w:tc>
        <w:tc>
          <w:tcPr>
            <w:tcW w:w="1145" w:type="dxa"/>
            <w:vAlign w:val="center"/>
          </w:tcPr>
          <w:p>
            <w:pPr>
              <w:spacing w:line="280" w:lineRule="exact"/>
              <w:ind w:firstLine="0" w:firstLineChars="0"/>
              <w:jc w:val="center"/>
              <w:rPr>
                <w:rFonts w:cs="Times New Roman"/>
                <w:color w:val="auto"/>
                <w:kern w:val="0"/>
                <w:sz w:val="21"/>
                <w:szCs w:val="21"/>
                <w:lang w:bidi="ar"/>
              </w:rPr>
            </w:pPr>
            <w:r>
              <w:rPr>
                <w:rFonts w:cs="Times New Roman"/>
                <w:color w:val="auto"/>
                <w:kern w:val="0"/>
                <w:sz w:val="21"/>
                <w:szCs w:val="21"/>
                <w:lang w:bidi="ar"/>
              </w:rPr>
              <w:t>0.07mg/m</w:t>
            </w:r>
            <w:r>
              <w:rPr>
                <w:rFonts w:cs="Times New Roman"/>
                <w:color w:val="auto"/>
                <w:kern w:val="0"/>
                <w:sz w:val="21"/>
                <w:szCs w:val="21"/>
                <w:vertAlign w:val="superscript"/>
                <w:lang w:bidi="ar"/>
              </w:rPr>
              <w:t>3</w:t>
            </w:r>
          </w:p>
        </w:tc>
      </w:tr>
    </w:tbl>
    <w:p>
      <w:pPr>
        <w:pStyle w:val="35"/>
        <w:snapToGrid w:val="0"/>
        <w:rPr>
          <w:color w:val="auto"/>
        </w:rPr>
      </w:pPr>
    </w:p>
    <w:bookmarkEnd w:id="78"/>
    <w:p>
      <w:pPr>
        <w:pStyle w:val="3"/>
        <w:numPr>
          <w:ilvl w:val="0"/>
          <w:numId w:val="0"/>
        </w:numPr>
        <w:ind w:left="113"/>
        <w:rPr>
          <w:color w:val="auto"/>
        </w:rPr>
      </w:pPr>
      <w:bookmarkStart w:id="79" w:name="_Toc29870"/>
      <w:r>
        <w:rPr>
          <w:rFonts w:hint="eastAsia"/>
          <w:color w:val="auto"/>
        </w:rPr>
        <w:t>8</w:t>
      </w:r>
      <w:r>
        <w:rPr>
          <w:color w:val="auto"/>
        </w:rPr>
        <w:t>.2</w:t>
      </w:r>
      <w:r>
        <w:rPr>
          <w:rFonts w:hint="eastAsia"/>
          <w:color w:val="auto"/>
        </w:rPr>
        <w:t>人员资质</w:t>
      </w:r>
      <w:bookmarkEnd w:id="79"/>
    </w:p>
    <w:p>
      <w:pPr>
        <w:ind w:firstLine="480"/>
        <w:rPr>
          <w:rFonts w:cs="Times New Roman"/>
          <w:color w:val="auto"/>
        </w:rPr>
      </w:pPr>
      <w:r>
        <w:rPr>
          <w:rFonts w:cs="Times New Roman"/>
          <w:color w:val="auto"/>
        </w:rPr>
        <w:t>参与本次验收检测的相关人员信息详见表8.2-1。</w:t>
      </w:r>
    </w:p>
    <w:p>
      <w:pPr>
        <w:ind w:firstLine="422"/>
        <w:jc w:val="center"/>
        <w:rPr>
          <w:rFonts w:cs="Times New Roman"/>
          <w:b/>
          <w:color w:val="auto"/>
          <w:sz w:val="21"/>
          <w:szCs w:val="21"/>
        </w:rPr>
      </w:pPr>
      <w:r>
        <w:rPr>
          <w:rFonts w:cs="Times New Roman"/>
          <w:b/>
          <w:color w:val="auto"/>
          <w:sz w:val="21"/>
          <w:szCs w:val="21"/>
        </w:rPr>
        <w:t>表8</w:t>
      </w:r>
      <w:r>
        <w:rPr>
          <w:rFonts w:hint="eastAsia" w:cs="Times New Roman"/>
          <w:b/>
          <w:color w:val="auto"/>
          <w:sz w:val="21"/>
          <w:szCs w:val="21"/>
        </w:rPr>
        <w:t>.2-1</w:t>
      </w:r>
      <w:r>
        <w:rPr>
          <w:rFonts w:cs="Times New Roman"/>
          <w:b/>
          <w:color w:val="auto"/>
          <w:sz w:val="21"/>
          <w:szCs w:val="21"/>
        </w:rPr>
        <w:t xml:space="preserve"> 参与验收检测的相关人员一览表</w:t>
      </w:r>
    </w:p>
    <w:tbl>
      <w:tblPr>
        <w:tblStyle w:val="22"/>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6"/>
        <w:gridCol w:w="1164"/>
        <w:gridCol w:w="2476"/>
        <w:gridCol w:w="1456"/>
        <w:gridCol w:w="2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02" w:hRule="atLeast"/>
          <w:jc w:val="center"/>
        </w:trPr>
        <w:tc>
          <w:tcPr>
            <w:tcW w:w="1306" w:type="dxa"/>
            <w:vMerge w:val="restart"/>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废水、废气、噪声</w:t>
            </w:r>
          </w:p>
        </w:tc>
        <w:tc>
          <w:tcPr>
            <w:tcW w:w="1164"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采样日期</w:t>
            </w:r>
          </w:p>
        </w:tc>
        <w:tc>
          <w:tcPr>
            <w:tcW w:w="2476"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2024.06.13-2024.06.14</w:t>
            </w:r>
          </w:p>
        </w:tc>
        <w:tc>
          <w:tcPr>
            <w:tcW w:w="1456"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采样人员</w:t>
            </w:r>
          </w:p>
        </w:tc>
        <w:tc>
          <w:tcPr>
            <w:tcW w:w="2120"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李伟鹏、陈春诗、</w:t>
            </w:r>
          </w:p>
          <w:p>
            <w:pPr>
              <w:spacing w:line="240" w:lineRule="auto"/>
              <w:ind w:firstLine="0" w:firstLineChars="0"/>
              <w:jc w:val="center"/>
              <w:rPr>
                <w:rFonts w:cs="Times New Roman"/>
                <w:color w:val="auto"/>
                <w:sz w:val="21"/>
                <w:szCs w:val="21"/>
              </w:rPr>
            </w:pPr>
            <w:r>
              <w:rPr>
                <w:rFonts w:hint="eastAsia" w:cs="Times New Roman"/>
                <w:color w:val="auto"/>
                <w:sz w:val="21"/>
                <w:szCs w:val="21"/>
              </w:rPr>
              <w:t>潘俊鹏、陈浩锋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90" w:hRule="atLeast"/>
          <w:jc w:val="center"/>
        </w:trPr>
        <w:tc>
          <w:tcPr>
            <w:tcW w:w="1306" w:type="dxa"/>
            <w:vMerge w:val="continue"/>
            <w:vAlign w:val="center"/>
          </w:tcPr>
          <w:p>
            <w:pPr>
              <w:spacing w:line="240" w:lineRule="auto"/>
              <w:ind w:firstLine="0" w:firstLineChars="0"/>
              <w:jc w:val="center"/>
              <w:rPr>
                <w:rFonts w:cs="Times New Roman"/>
                <w:color w:val="auto"/>
                <w:sz w:val="21"/>
                <w:szCs w:val="21"/>
              </w:rPr>
            </w:pPr>
          </w:p>
        </w:tc>
        <w:tc>
          <w:tcPr>
            <w:tcW w:w="1164"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分析日期</w:t>
            </w:r>
          </w:p>
        </w:tc>
        <w:tc>
          <w:tcPr>
            <w:tcW w:w="2476"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2024.06.13-2024.06.19</w:t>
            </w:r>
          </w:p>
        </w:tc>
        <w:tc>
          <w:tcPr>
            <w:tcW w:w="1456"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分析人员</w:t>
            </w:r>
          </w:p>
        </w:tc>
        <w:tc>
          <w:tcPr>
            <w:tcW w:w="2120"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李坤玲、赖思丽、高峰</w:t>
            </w:r>
          </w:p>
        </w:tc>
      </w:tr>
    </w:tbl>
    <w:p>
      <w:pPr>
        <w:pStyle w:val="3"/>
        <w:numPr>
          <w:ilvl w:val="0"/>
          <w:numId w:val="0"/>
        </w:numPr>
        <w:ind w:left="113"/>
      </w:pPr>
      <w:bookmarkStart w:id="80" w:name="_Toc14280"/>
      <w:r>
        <w:rPr>
          <w:rFonts w:hint="eastAsia"/>
        </w:rPr>
        <w:t>8</w:t>
      </w:r>
      <w:r>
        <w:t>.3</w:t>
      </w:r>
      <w:r>
        <w:rPr>
          <w:rFonts w:hint="eastAsia"/>
        </w:rPr>
        <w:t>监测分析过程中的质量保证和质量控制</w:t>
      </w:r>
      <w:bookmarkEnd w:id="80"/>
    </w:p>
    <w:p>
      <w:pPr>
        <w:ind w:firstLine="480"/>
      </w:pPr>
      <w:r>
        <w:rPr>
          <w:rFonts w:hint="eastAsia"/>
        </w:rPr>
        <w:t>验收检测的质量保证和质量控制按照《固定污染源监测质量保证与质量控制技术规范（试行）(HJT 373-2007)》、《环境监测技术规范》、《环境监测质量管理技术导则》（HJ 630-2011）、《排污单位自行监测技术指南总则》（HJ 819-2017）、《工业企业厂界环境噪声排放标准》（GB12348-2008）中的质量保证和质量控制有关章节的要求进行。主要要求包括：</w:t>
      </w:r>
    </w:p>
    <w:p>
      <w:pPr>
        <w:ind w:firstLine="480"/>
      </w:pPr>
      <w:r>
        <w:rPr>
          <w:rFonts w:hint="eastAsia"/>
        </w:rPr>
        <w:t>1、验收检测在工况稳定、生产负荷达到75％以上进行。</w:t>
      </w:r>
    </w:p>
    <w:p>
      <w:pPr>
        <w:ind w:firstLine="480"/>
      </w:pPr>
      <w:r>
        <w:rPr>
          <w:rFonts w:hint="eastAsia"/>
        </w:rPr>
        <w:t>2、检测人员持证上岗，所用计量仪器均经过计量部门检定或校准合格并在有效期内使用。</w:t>
      </w:r>
    </w:p>
    <w:p>
      <w:pPr>
        <w:ind w:firstLine="480"/>
      </w:pPr>
      <w:r>
        <w:rPr>
          <w:rFonts w:hint="eastAsia"/>
        </w:rPr>
        <w:t>3、采样前大气、烟气采样器进行气路检查和流量校核，保证检测仪器的气密性和准确性。</w:t>
      </w:r>
    </w:p>
    <w:p>
      <w:pPr>
        <w:ind w:firstLine="480"/>
      </w:pPr>
      <w:r>
        <w:rPr>
          <w:rFonts w:hint="eastAsia"/>
        </w:rPr>
        <w:t>4、噪声测量前后用标准声源对噪声计进行校准，检测前后校准值差值不大于0.5dB（A）。</w:t>
      </w:r>
    </w:p>
    <w:p>
      <w:pPr>
        <w:ind w:firstLine="480"/>
      </w:pPr>
      <w:r>
        <w:rPr>
          <w:rFonts w:hint="eastAsia"/>
        </w:rPr>
        <w:t>5、实验室样品分析均同步完成全程序双空白实验、按样品总数10%做加标回收和平行双样分析。</w:t>
      </w:r>
    </w:p>
    <w:p>
      <w:pPr>
        <w:ind w:firstLine="480"/>
      </w:pPr>
      <w:r>
        <w:rPr>
          <w:rFonts w:hint="eastAsia"/>
        </w:rPr>
        <w:t>6、验收检测的采样记录及分析测试结果，按国家标准和检测技术规范有关要求进行数据处理和填报，并按有关规定和要求进行三级审核。</w:t>
      </w:r>
    </w:p>
    <w:p>
      <w:pPr>
        <w:ind w:firstLine="480"/>
      </w:pPr>
      <w:r>
        <w:rPr>
          <w:rFonts w:hint="eastAsia"/>
        </w:rPr>
        <w:t>7、检测分析方法均采用本单位通过计量认证（实验室资质认定）的方法，分析方法能满足标准要求。</w:t>
      </w:r>
    </w:p>
    <w:p>
      <w:pPr>
        <w:ind w:firstLine="480"/>
      </w:pPr>
      <w:r>
        <w:rPr>
          <w:rFonts w:hint="eastAsia"/>
        </w:rPr>
        <w:t>8、水样的采集、运输、保存、实验室分析和数据计算的全过程均按《环境水质监测质量保证手册》（第四版）的有关规定执行；废气监测的现场采样和实验室分析的质量保证工作按《空气和废气监测分析方法》（第四版）中的有关规定执行；噪声监测按《工业企业厂界环境噪声排放标准》（GB12348-2008）中的有关规定进行。</w:t>
      </w:r>
    </w:p>
    <w:p>
      <w:pPr>
        <w:ind w:firstLine="480"/>
      </w:pPr>
      <w:r>
        <w:rPr>
          <w:rFonts w:hint="eastAsia"/>
        </w:rPr>
        <w:t>9、噪声仪测量前、后校准结果见表</w:t>
      </w:r>
      <w:r>
        <w:t>8.3-1</w:t>
      </w:r>
      <w:r>
        <w:rPr>
          <w:rFonts w:hint="eastAsia"/>
        </w:rPr>
        <w:t>，废水测试仪校准结果见表</w:t>
      </w:r>
      <w:r>
        <w:t>8.3-2</w:t>
      </w:r>
      <w:r>
        <w:rPr>
          <w:rFonts w:hint="eastAsia"/>
        </w:rPr>
        <w:t>。</w:t>
      </w:r>
    </w:p>
    <w:p>
      <w:pPr>
        <w:ind w:firstLine="480"/>
        <w:rPr>
          <w:highlight w:val="yellow"/>
        </w:rPr>
      </w:pPr>
    </w:p>
    <w:p>
      <w:pPr>
        <w:ind w:firstLine="480"/>
        <w:rPr>
          <w:highlight w:val="yellow"/>
        </w:rPr>
      </w:pPr>
    </w:p>
    <w:p>
      <w:pPr>
        <w:ind w:firstLine="480"/>
        <w:rPr>
          <w:highlight w:val="yellow"/>
        </w:rPr>
      </w:pPr>
    </w:p>
    <w:p>
      <w:pPr>
        <w:ind w:firstLine="480"/>
        <w:rPr>
          <w:highlight w:val="yellow"/>
        </w:rPr>
      </w:pPr>
    </w:p>
    <w:p>
      <w:pPr>
        <w:pStyle w:val="35"/>
      </w:pPr>
      <w:r>
        <w:rPr>
          <w:rFonts w:hint="eastAsia"/>
        </w:rPr>
        <w:t>表</w:t>
      </w:r>
      <w:r>
        <w:t>8.3-1</w:t>
      </w:r>
      <w:r>
        <w:rPr>
          <w:rFonts w:hint="eastAsia"/>
        </w:rPr>
        <w:t>声级计校准记录一览表</w:t>
      </w:r>
    </w:p>
    <w:tbl>
      <w:tblPr>
        <w:tblStyle w:val="22"/>
        <w:tblpPr w:leftFromText="180" w:rightFromText="180" w:vertAnchor="text" w:horzAnchor="page" w:tblpXSpec="center" w:tblpY="233"/>
        <w:tblOverlap w:val="never"/>
        <w:tblW w:w="8366" w:type="dxa"/>
        <w:tblInd w:w="0" w:type="dxa"/>
        <w:tblBorders>
          <w:top w:val="single" w:color="auto" w:sz="4" w:space="0"/>
          <w:left w:val="single" w:color="auto" w:sz="4" w:space="0"/>
          <w:bottom w:val="single" w:color="auto" w:sz="4" w:space="0"/>
          <w:right w:val="single" w:color="auto" w:sz="4" w:space="0"/>
          <w:insideH w:val="none" w:color="auto" w:sz="4" w:space="0"/>
          <w:insideV w:val="none" w:color="auto" w:sz="4" w:space="0"/>
        </w:tblBorders>
        <w:tblLayout w:type="fixed"/>
        <w:tblCellMar>
          <w:top w:w="0" w:type="dxa"/>
          <w:left w:w="30" w:type="dxa"/>
          <w:bottom w:w="0" w:type="dxa"/>
          <w:right w:w="30" w:type="dxa"/>
        </w:tblCellMar>
      </w:tblPr>
      <w:tblGrid>
        <w:gridCol w:w="1143"/>
        <w:gridCol w:w="965"/>
        <w:gridCol w:w="1752"/>
        <w:gridCol w:w="668"/>
        <w:gridCol w:w="563"/>
        <w:gridCol w:w="546"/>
        <w:gridCol w:w="546"/>
        <w:gridCol w:w="546"/>
        <w:gridCol w:w="546"/>
        <w:gridCol w:w="546"/>
        <w:gridCol w:w="545"/>
      </w:tblGrid>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Layout w:type="fixed"/>
          <w:tblCellMar>
            <w:top w:w="0" w:type="dxa"/>
            <w:left w:w="30" w:type="dxa"/>
            <w:bottom w:w="0" w:type="dxa"/>
            <w:right w:w="30" w:type="dxa"/>
          </w:tblCellMar>
        </w:tblPrEx>
        <w:trPr>
          <w:cantSplit/>
          <w:trHeight w:val="361" w:hRule="atLeast"/>
        </w:trPr>
        <w:tc>
          <w:tcPr>
            <w:tcW w:w="1143" w:type="dxa"/>
            <w:vMerge w:val="restart"/>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r>
              <w:rPr>
                <w:rFonts w:cs="Times New Roman"/>
                <w:b/>
                <w:bCs/>
                <w:sz w:val="21"/>
                <w:szCs w:val="21"/>
              </w:rPr>
              <w:t>日期</w:t>
            </w:r>
          </w:p>
        </w:tc>
        <w:tc>
          <w:tcPr>
            <w:tcW w:w="965" w:type="dxa"/>
            <w:vMerge w:val="restart"/>
            <w:tcBorders>
              <w:left w:val="single" w:color="auto" w:sz="4"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r>
              <w:rPr>
                <w:rFonts w:cs="Times New Roman"/>
                <w:b/>
                <w:bCs/>
                <w:sz w:val="21"/>
                <w:szCs w:val="21"/>
              </w:rPr>
              <w:t>仪器型号</w:t>
            </w:r>
          </w:p>
        </w:tc>
        <w:tc>
          <w:tcPr>
            <w:tcW w:w="1752" w:type="dxa"/>
            <w:vMerge w:val="restart"/>
            <w:tcBorders>
              <w:left w:val="single" w:color="auto" w:sz="6"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r>
              <w:rPr>
                <w:rFonts w:cs="Times New Roman"/>
                <w:b/>
                <w:bCs/>
                <w:sz w:val="21"/>
                <w:szCs w:val="21"/>
              </w:rPr>
              <w:t>仪器编号</w:t>
            </w:r>
          </w:p>
        </w:tc>
        <w:tc>
          <w:tcPr>
            <w:tcW w:w="668" w:type="dxa"/>
            <w:vMerge w:val="restart"/>
            <w:tcBorders>
              <w:left w:val="single" w:color="auto" w:sz="6"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r>
              <w:rPr>
                <w:rFonts w:cs="Times New Roman"/>
                <w:b/>
                <w:bCs/>
                <w:sz w:val="21"/>
                <w:szCs w:val="21"/>
              </w:rPr>
              <w:t>单位</w:t>
            </w:r>
          </w:p>
        </w:tc>
        <w:tc>
          <w:tcPr>
            <w:tcW w:w="563" w:type="dxa"/>
            <w:vMerge w:val="restart"/>
            <w:tcBorders>
              <w:left w:val="single" w:color="auto" w:sz="6"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r>
              <w:rPr>
                <w:rFonts w:cs="Times New Roman"/>
                <w:b/>
                <w:bCs/>
                <w:sz w:val="21"/>
                <w:szCs w:val="21"/>
              </w:rPr>
              <w:t>标准值</w:t>
            </w:r>
          </w:p>
        </w:tc>
        <w:tc>
          <w:tcPr>
            <w:tcW w:w="1638" w:type="dxa"/>
            <w:gridSpan w:val="3"/>
            <w:tcBorders>
              <w:left w:val="single" w:color="auto" w:sz="6" w:space="0"/>
              <w:bottom w:val="single" w:color="auto" w:sz="6"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r>
              <w:rPr>
                <w:rFonts w:cs="Times New Roman"/>
                <w:b/>
                <w:bCs/>
                <w:sz w:val="21"/>
                <w:szCs w:val="21"/>
              </w:rPr>
              <w:t>检测前</w:t>
            </w:r>
          </w:p>
        </w:tc>
        <w:tc>
          <w:tcPr>
            <w:tcW w:w="1637" w:type="dxa"/>
            <w:gridSpan w:val="3"/>
            <w:tcBorders>
              <w:left w:val="single" w:color="auto" w:sz="6" w:space="0"/>
              <w:bottom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r>
              <w:rPr>
                <w:rFonts w:cs="Times New Roman"/>
                <w:b/>
                <w:bCs/>
                <w:sz w:val="21"/>
                <w:szCs w:val="21"/>
              </w:rPr>
              <w:t>检测后</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Layout w:type="fixed"/>
          <w:tblCellMar>
            <w:top w:w="0" w:type="dxa"/>
            <w:left w:w="30" w:type="dxa"/>
            <w:bottom w:w="0" w:type="dxa"/>
            <w:right w:w="30" w:type="dxa"/>
          </w:tblCellMar>
        </w:tblPrEx>
        <w:trPr>
          <w:cantSplit/>
          <w:trHeight w:val="721" w:hRule="atLeast"/>
        </w:trPr>
        <w:tc>
          <w:tcPr>
            <w:tcW w:w="1143" w:type="dxa"/>
            <w:vMerge w:val="continue"/>
            <w:tcBorders>
              <w:bottom w:val="single" w:color="auto" w:sz="6" w:space="0"/>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p>
        </w:tc>
        <w:tc>
          <w:tcPr>
            <w:tcW w:w="965" w:type="dxa"/>
            <w:vMerge w:val="continue"/>
            <w:tcBorders>
              <w:left w:val="single" w:color="auto" w:sz="4" w:space="0"/>
              <w:bottom w:val="single" w:color="auto" w:sz="6"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p>
        </w:tc>
        <w:tc>
          <w:tcPr>
            <w:tcW w:w="1752" w:type="dxa"/>
            <w:vMerge w:val="continue"/>
            <w:tcBorders>
              <w:left w:val="single" w:color="auto" w:sz="6" w:space="0"/>
              <w:bottom w:val="single" w:color="auto" w:sz="6"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p>
        </w:tc>
        <w:tc>
          <w:tcPr>
            <w:tcW w:w="668" w:type="dxa"/>
            <w:vMerge w:val="continue"/>
            <w:tcBorders>
              <w:left w:val="single" w:color="auto" w:sz="6" w:space="0"/>
              <w:bottom w:val="single" w:color="auto" w:sz="6"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p>
        </w:tc>
        <w:tc>
          <w:tcPr>
            <w:tcW w:w="563" w:type="dxa"/>
            <w:vMerge w:val="continue"/>
            <w:tcBorders>
              <w:left w:val="single" w:color="auto" w:sz="6" w:space="0"/>
              <w:bottom w:val="single" w:color="auto" w:sz="6" w:space="0"/>
              <w:right w:val="single" w:color="auto" w:sz="6" w:space="0"/>
            </w:tcBorders>
            <w:vAlign w:val="center"/>
          </w:tcPr>
          <w:p>
            <w:pPr>
              <w:autoSpaceDE w:val="0"/>
              <w:autoSpaceDN w:val="0"/>
              <w:adjustRightInd w:val="0"/>
              <w:spacing w:before="31" w:beforeLines="10" w:after="31" w:afterLines="10" w:line="288" w:lineRule="auto"/>
              <w:ind w:firstLine="0" w:firstLineChars="0"/>
              <w:jc w:val="right"/>
              <w:rPr>
                <w:rFonts w:cs="Times New Roman"/>
                <w:b/>
                <w:bCs/>
                <w:sz w:val="21"/>
                <w:szCs w:val="21"/>
              </w:rPr>
            </w:pPr>
          </w:p>
        </w:tc>
        <w:tc>
          <w:tcPr>
            <w:tcW w:w="546" w:type="dxa"/>
            <w:tcBorders>
              <w:top w:val="single" w:color="auto" w:sz="6" w:space="0"/>
              <w:left w:val="single" w:color="auto" w:sz="6" w:space="0"/>
              <w:bottom w:val="single" w:color="auto" w:sz="6" w:space="0"/>
              <w:right w:val="single" w:color="auto" w:sz="6" w:space="0"/>
            </w:tcBorders>
            <w:vAlign w:val="center"/>
          </w:tcPr>
          <w:p>
            <w:pPr>
              <w:autoSpaceDE w:val="0"/>
              <w:autoSpaceDN w:val="0"/>
              <w:adjustRightInd w:val="0"/>
              <w:spacing w:line="240" w:lineRule="auto"/>
              <w:ind w:firstLine="0" w:firstLineChars="0"/>
              <w:jc w:val="center"/>
              <w:rPr>
                <w:rFonts w:cs="Times New Roman"/>
                <w:b/>
                <w:bCs/>
                <w:sz w:val="21"/>
                <w:szCs w:val="21"/>
              </w:rPr>
            </w:pPr>
            <w:r>
              <w:rPr>
                <w:rFonts w:cs="Times New Roman"/>
                <w:b/>
                <w:bCs/>
                <w:sz w:val="21"/>
                <w:szCs w:val="21"/>
              </w:rPr>
              <w:t>测定值</w:t>
            </w:r>
          </w:p>
        </w:tc>
        <w:tc>
          <w:tcPr>
            <w:tcW w:w="546" w:type="dxa"/>
            <w:tcBorders>
              <w:top w:val="single" w:color="auto" w:sz="6" w:space="0"/>
              <w:left w:val="single" w:color="auto" w:sz="6" w:space="0"/>
              <w:bottom w:val="single" w:color="auto" w:sz="6" w:space="0"/>
              <w:right w:val="single" w:color="auto" w:sz="6" w:space="0"/>
            </w:tcBorders>
            <w:vAlign w:val="center"/>
          </w:tcPr>
          <w:p>
            <w:pPr>
              <w:autoSpaceDE w:val="0"/>
              <w:autoSpaceDN w:val="0"/>
              <w:adjustRightInd w:val="0"/>
              <w:spacing w:line="240" w:lineRule="auto"/>
              <w:ind w:firstLine="0" w:firstLineChars="0"/>
              <w:jc w:val="center"/>
              <w:rPr>
                <w:rFonts w:cs="Times New Roman"/>
                <w:b/>
                <w:bCs/>
                <w:sz w:val="21"/>
                <w:szCs w:val="21"/>
              </w:rPr>
            </w:pPr>
            <w:r>
              <w:rPr>
                <w:rFonts w:cs="Times New Roman"/>
                <w:b/>
                <w:bCs/>
                <w:sz w:val="21"/>
                <w:szCs w:val="21"/>
              </w:rPr>
              <w:t>绝对误差</w:t>
            </w:r>
          </w:p>
        </w:tc>
        <w:tc>
          <w:tcPr>
            <w:tcW w:w="546" w:type="dxa"/>
            <w:tcBorders>
              <w:top w:val="single" w:color="auto" w:sz="6" w:space="0"/>
              <w:left w:val="single" w:color="auto" w:sz="6" w:space="0"/>
              <w:bottom w:val="single" w:color="auto" w:sz="6" w:space="0"/>
              <w:right w:val="single" w:color="auto" w:sz="6" w:space="0"/>
            </w:tcBorders>
            <w:vAlign w:val="center"/>
          </w:tcPr>
          <w:p>
            <w:pPr>
              <w:autoSpaceDE w:val="0"/>
              <w:autoSpaceDN w:val="0"/>
              <w:adjustRightInd w:val="0"/>
              <w:spacing w:line="240" w:lineRule="auto"/>
              <w:ind w:firstLine="0" w:firstLineChars="0"/>
              <w:jc w:val="center"/>
              <w:rPr>
                <w:rFonts w:cs="Times New Roman"/>
                <w:b/>
                <w:bCs/>
                <w:sz w:val="21"/>
                <w:szCs w:val="21"/>
              </w:rPr>
            </w:pPr>
            <w:r>
              <w:rPr>
                <w:rFonts w:cs="Times New Roman"/>
                <w:b/>
                <w:bCs/>
                <w:sz w:val="21"/>
                <w:szCs w:val="21"/>
              </w:rPr>
              <w:t>是否</w:t>
            </w:r>
          </w:p>
          <w:p>
            <w:pPr>
              <w:autoSpaceDE w:val="0"/>
              <w:autoSpaceDN w:val="0"/>
              <w:adjustRightInd w:val="0"/>
              <w:spacing w:line="240" w:lineRule="auto"/>
              <w:ind w:firstLine="0" w:firstLineChars="0"/>
              <w:jc w:val="center"/>
              <w:rPr>
                <w:rFonts w:cs="Times New Roman"/>
                <w:b/>
                <w:bCs/>
                <w:sz w:val="21"/>
                <w:szCs w:val="21"/>
              </w:rPr>
            </w:pPr>
            <w:r>
              <w:rPr>
                <w:rFonts w:cs="Times New Roman"/>
                <w:b/>
                <w:bCs/>
                <w:sz w:val="21"/>
                <w:szCs w:val="21"/>
              </w:rPr>
              <w:t>合格</w:t>
            </w:r>
          </w:p>
        </w:tc>
        <w:tc>
          <w:tcPr>
            <w:tcW w:w="546" w:type="dxa"/>
            <w:tcBorders>
              <w:top w:val="single" w:color="auto" w:sz="6" w:space="0"/>
              <w:left w:val="single" w:color="auto" w:sz="6" w:space="0"/>
              <w:bottom w:val="single" w:color="auto" w:sz="6" w:space="0"/>
              <w:right w:val="single" w:color="auto" w:sz="6" w:space="0"/>
            </w:tcBorders>
            <w:vAlign w:val="center"/>
          </w:tcPr>
          <w:p>
            <w:pPr>
              <w:autoSpaceDE w:val="0"/>
              <w:autoSpaceDN w:val="0"/>
              <w:adjustRightInd w:val="0"/>
              <w:spacing w:line="240" w:lineRule="auto"/>
              <w:ind w:firstLine="0" w:firstLineChars="0"/>
              <w:jc w:val="center"/>
              <w:rPr>
                <w:rFonts w:cs="Times New Roman"/>
                <w:b/>
                <w:bCs/>
                <w:sz w:val="21"/>
                <w:szCs w:val="21"/>
              </w:rPr>
            </w:pPr>
            <w:r>
              <w:rPr>
                <w:rFonts w:cs="Times New Roman"/>
                <w:b/>
                <w:bCs/>
                <w:sz w:val="21"/>
                <w:szCs w:val="21"/>
              </w:rPr>
              <w:t>测定值</w:t>
            </w:r>
          </w:p>
        </w:tc>
        <w:tc>
          <w:tcPr>
            <w:tcW w:w="546" w:type="dxa"/>
            <w:tcBorders>
              <w:top w:val="single" w:color="auto" w:sz="6" w:space="0"/>
              <w:left w:val="single" w:color="auto" w:sz="6" w:space="0"/>
              <w:bottom w:val="single" w:color="auto" w:sz="6" w:space="0"/>
              <w:right w:val="single" w:color="auto" w:sz="6" w:space="0"/>
            </w:tcBorders>
            <w:vAlign w:val="center"/>
          </w:tcPr>
          <w:p>
            <w:pPr>
              <w:autoSpaceDE w:val="0"/>
              <w:autoSpaceDN w:val="0"/>
              <w:adjustRightInd w:val="0"/>
              <w:spacing w:line="240" w:lineRule="auto"/>
              <w:ind w:firstLine="0" w:firstLineChars="0"/>
              <w:jc w:val="center"/>
              <w:rPr>
                <w:rFonts w:cs="Times New Roman"/>
                <w:b/>
                <w:bCs/>
                <w:sz w:val="21"/>
                <w:szCs w:val="21"/>
              </w:rPr>
            </w:pPr>
            <w:r>
              <w:rPr>
                <w:rFonts w:cs="Times New Roman"/>
                <w:b/>
                <w:bCs/>
                <w:sz w:val="21"/>
                <w:szCs w:val="21"/>
              </w:rPr>
              <w:t>绝对误差</w:t>
            </w:r>
          </w:p>
        </w:tc>
        <w:tc>
          <w:tcPr>
            <w:tcW w:w="545" w:type="dxa"/>
            <w:tcBorders>
              <w:top w:val="single" w:color="auto" w:sz="6" w:space="0"/>
              <w:left w:val="single" w:color="auto" w:sz="6" w:space="0"/>
              <w:bottom w:val="single" w:color="auto" w:sz="6" w:space="0"/>
            </w:tcBorders>
            <w:vAlign w:val="center"/>
          </w:tcPr>
          <w:p>
            <w:pPr>
              <w:autoSpaceDE w:val="0"/>
              <w:autoSpaceDN w:val="0"/>
              <w:adjustRightInd w:val="0"/>
              <w:spacing w:line="240" w:lineRule="auto"/>
              <w:ind w:firstLine="0" w:firstLineChars="0"/>
              <w:jc w:val="center"/>
              <w:rPr>
                <w:rFonts w:cs="Times New Roman"/>
                <w:b/>
                <w:bCs/>
                <w:sz w:val="21"/>
                <w:szCs w:val="21"/>
              </w:rPr>
            </w:pPr>
            <w:r>
              <w:rPr>
                <w:rFonts w:cs="Times New Roman"/>
                <w:b/>
                <w:bCs/>
                <w:sz w:val="21"/>
                <w:szCs w:val="21"/>
              </w:rPr>
              <w:t>是否</w:t>
            </w:r>
          </w:p>
          <w:p>
            <w:pPr>
              <w:autoSpaceDE w:val="0"/>
              <w:autoSpaceDN w:val="0"/>
              <w:adjustRightInd w:val="0"/>
              <w:spacing w:line="240" w:lineRule="auto"/>
              <w:ind w:firstLine="0" w:firstLineChars="0"/>
              <w:jc w:val="center"/>
              <w:rPr>
                <w:rFonts w:cs="Times New Roman"/>
                <w:b/>
                <w:bCs/>
                <w:sz w:val="21"/>
                <w:szCs w:val="21"/>
              </w:rPr>
            </w:pPr>
            <w:r>
              <w:rPr>
                <w:rFonts w:cs="Times New Roman"/>
                <w:b/>
                <w:bCs/>
                <w:sz w:val="21"/>
                <w:szCs w:val="21"/>
              </w:rPr>
              <w:t>合格</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Layout w:type="fixed"/>
          <w:tblCellMar>
            <w:top w:w="0" w:type="dxa"/>
            <w:left w:w="30" w:type="dxa"/>
            <w:bottom w:w="0" w:type="dxa"/>
            <w:right w:w="30" w:type="dxa"/>
          </w:tblCellMar>
        </w:tblPrEx>
        <w:trPr>
          <w:trHeight w:val="392" w:hRule="atLeast"/>
        </w:trPr>
        <w:tc>
          <w:tcPr>
            <w:tcW w:w="1143" w:type="dxa"/>
            <w:tcBorders>
              <w:top w:val="single" w:color="auto" w:sz="6" w:space="0"/>
              <w:bottom w:val="single" w:color="auto" w:sz="6" w:space="0"/>
              <w:right w:val="single" w:color="auto" w:sz="4" w:space="0"/>
            </w:tcBorders>
            <w:vAlign w:val="center"/>
          </w:tcPr>
          <w:p>
            <w:pPr>
              <w:spacing w:line="240" w:lineRule="auto"/>
              <w:ind w:firstLine="0" w:firstLineChars="0"/>
              <w:jc w:val="center"/>
              <w:rPr>
                <w:rFonts w:cs="Times New Roman"/>
                <w:sz w:val="21"/>
                <w:szCs w:val="21"/>
              </w:rPr>
            </w:pPr>
            <w:r>
              <w:rPr>
                <w:rFonts w:cs="Times New Roman"/>
                <w:kern w:val="0"/>
                <w:sz w:val="21"/>
                <w:szCs w:val="21"/>
                <w:lang w:bidi="ar"/>
              </w:rPr>
              <w:t>2024.06.13</w:t>
            </w:r>
          </w:p>
        </w:tc>
        <w:tc>
          <w:tcPr>
            <w:tcW w:w="965" w:type="dxa"/>
            <w:tcBorders>
              <w:top w:val="single" w:color="auto" w:sz="6" w:space="0"/>
              <w:left w:val="single" w:color="auto" w:sz="4" w:space="0"/>
              <w:bottom w:val="single" w:color="auto" w:sz="6" w:space="0"/>
              <w:right w:val="single" w:color="auto" w:sz="6" w:space="0"/>
            </w:tcBorders>
            <w:vAlign w:val="center"/>
          </w:tcPr>
          <w:p>
            <w:pPr>
              <w:spacing w:line="240" w:lineRule="auto"/>
              <w:ind w:firstLine="0" w:firstLineChars="0"/>
              <w:jc w:val="center"/>
              <w:rPr>
                <w:rFonts w:cs="Times New Roman"/>
                <w:sz w:val="21"/>
                <w:szCs w:val="21"/>
              </w:rPr>
            </w:pPr>
            <w:r>
              <w:rPr>
                <w:rFonts w:cs="Times New Roman"/>
                <w:sz w:val="21"/>
                <w:szCs w:val="21"/>
              </w:rPr>
              <w:t>AWA5688</w:t>
            </w:r>
          </w:p>
        </w:tc>
        <w:tc>
          <w:tcPr>
            <w:tcW w:w="1752" w:type="dxa"/>
            <w:tcBorders>
              <w:top w:val="single" w:color="auto" w:sz="6" w:space="0"/>
              <w:left w:val="single" w:color="auto" w:sz="6" w:space="0"/>
              <w:bottom w:val="single" w:color="auto" w:sz="6" w:space="0"/>
              <w:right w:val="single" w:color="auto" w:sz="6" w:space="0"/>
            </w:tcBorders>
            <w:vAlign w:val="center"/>
          </w:tcPr>
          <w:p>
            <w:pPr>
              <w:spacing w:line="240" w:lineRule="auto"/>
              <w:ind w:firstLine="0" w:firstLineChars="0"/>
              <w:jc w:val="center"/>
              <w:rPr>
                <w:rFonts w:cs="Times New Roman"/>
                <w:sz w:val="21"/>
                <w:szCs w:val="21"/>
              </w:rPr>
            </w:pPr>
            <w:r>
              <w:rPr>
                <w:rFonts w:cs="Times New Roman"/>
                <w:sz w:val="21"/>
                <w:szCs w:val="21"/>
              </w:rPr>
              <w:t>MMGR-XC-001-04</w:t>
            </w:r>
          </w:p>
        </w:tc>
        <w:tc>
          <w:tcPr>
            <w:tcW w:w="668" w:type="dxa"/>
            <w:tcBorders>
              <w:top w:val="single" w:color="auto" w:sz="6" w:space="0"/>
              <w:left w:val="single" w:color="auto" w:sz="6" w:space="0"/>
              <w:bottom w:val="single" w:color="auto" w:sz="6"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color w:val="000000"/>
                <w:kern w:val="0"/>
                <w:sz w:val="21"/>
                <w:szCs w:val="21"/>
                <w:lang w:bidi="ar"/>
              </w:rPr>
              <w:t>dB(A)</w:t>
            </w:r>
          </w:p>
        </w:tc>
        <w:tc>
          <w:tcPr>
            <w:tcW w:w="563" w:type="dxa"/>
            <w:tcBorders>
              <w:top w:val="single" w:color="auto" w:sz="6" w:space="0"/>
              <w:left w:val="single" w:color="auto" w:sz="6" w:space="0"/>
              <w:bottom w:val="single" w:color="auto" w:sz="6"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sz w:val="21"/>
                <w:szCs w:val="21"/>
              </w:rPr>
              <w:t>94.0</w:t>
            </w:r>
          </w:p>
        </w:tc>
        <w:tc>
          <w:tcPr>
            <w:tcW w:w="546" w:type="dxa"/>
            <w:tcBorders>
              <w:top w:val="single" w:color="auto" w:sz="6" w:space="0"/>
              <w:left w:val="single" w:color="auto" w:sz="6" w:space="0"/>
              <w:bottom w:val="single" w:color="auto" w:sz="6"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sz w:val="21"/>
                <w:szCs w:val="21"/>
              </w:rPr>
              <w:t>93.8</w:t>
            </w:r>
          </w:p>
        </w:tc>
        <w:tc>
          <w:tcPr>
            <w:tcW w:w="546" w:type="dxa"/>
            <w:tcBorders>
              <w:top w:val="single" w:color="auto" w:sz="6" w:space="0"/>
              <w:left w:val="single" w:color="auto" w:sz="6" w:space="0"/>
              <w:bottom w:val="single" w:color="auto" w:sz="6"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sz w:val="21"/>
                <w:szCs w:val="21"/>
              </w:rPr>
              <w:t>-0.2</w:t>
            </w:r>
          </w:p>
        </w:tc>
        <w:tc>
          <w:tcPr>
            <w:tcW w:w="546" w:type="dxa"/>
            <w:tcBorders>
              <w:top w:val="single" w:color="auto" w:sz="6" w:space="0"/>
              <w:left w:val="single" w:color="auto" w:sz="6" w:space="0"/>
              <w:bottom w:val="single" w:color="auto" w:sz="6"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sz w:val="21"/>
                <w:szCs w:val="21"/>
              </w:rPr>
              <w:t>合格</w:t>
            </w:r>
          </w:p>
        </w:tc>
        <w:tc>
          <w:tcPr>
            <w:tcW w:w="546" w:type="dxa"/>
            <w:tcBorders>
              <w:top w:val="single" w:color="auto" w:sz="6" w:space="0"/>
              <w:left w:val="single" w:color="auto" w:sz="6" w:space="0"/>
              <w:bottom w:val="single" w:color="auto" w:sz="6"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sz w:val="21"/>
                <w:szCs w:val="21"/>
              </w:rPr>
              <w:t>93.8</w:t>
            </w:r>
          </w:p>
        </w:tc>
        <w:tc>
          <w:tcPr>
            <w:tcW w:w="546" w:type="dxa"/>
            <w:tcBorders>
              <w:top w:val="single" w:color="auto" w:sz="6" w:space="0"/>
              <w:left w:val="single" w:color="auto" w:sz="6" w:space="0"/>
              <w:bottom w:val="single" w:color="auto" w:sz="6"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sz w:val="21"/>
                <w:szCs w:val="21"/>
              </w:rPr>
              <w:t>-0.2</w:t>
            </w:r>
          </w:p>
        </w:tc>
        <w:tc>
          <w:tcPr>
            <w:tcW w:w="545" w:type="dxa"/>
            <w:tcBorders>
              <w:top w:val="single" w:color="auto" w:sz="6" w:space="0"/>
              <w:left w:val="single" w:color="auto" w:sz="6" w:space="0"/>
              <w:bottom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sz w:val="21"/>
                <w:szCs w:val="21"/>
              </w:rPr>
              <w:t>合格</w:t>
            </w:r>
          </w:p>
        </w:tc>
      </w:tr>
      <w:tr>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Layout w:type="fixed"/>
          <w:tblCellMar>
            <w:top w:w="0" w:type="dxa"/>
            <w:left w:w="30" w:type="dxa"/>
            <w:bottom w:w="0" w:type="dxa"/>
            <w:right w:w="30" w:type="dxa"/>
          </w:tblCellMar>
        </w:tblPrEx>
        <w:trPr>
          <w:trHeight w:val="392" w:hRule="atLeast"/>
        </w:trPr>
        <w:tc>
          <w:tcPr>
            <w:tcW w:w="1143" w:type="dxa"/>
            <w:tcBorders>
              <w:top w:val="single" w:color="auto" w:sz="6" w:space="0"/>
              <w:bottom w:val="single" w:color="auto" w:sz="4" w:space="0"/>
              <w:right w:val="single" w:color="auto" w:sz="4" w:space="0"/>
            </w:tcBorders>
            <w:vAlign w:val="center"/>
          </w:tcPr>
          <w:p>
            <w:pPr>
              <w:spacing w:line="240" w:lineRule="auto"/>
              <w:ind w:firstLine="0" w:firstLineChars="0"/>
              <w:jc w:val="center"/>
              <w:rPr>
                <w:rFonts w:cs="Times New Roman"/>
                <w:sz w:val="21"/>
                <w:szCs w:val="21"/>
              </w:rPr>
            </w:pPr>
            <w:r>
              <w:rPr>
                <w:rFonts w:cs="Times New Roman"/>
                <w:kern w:val="0"/>
                <w:sz w:val="21"/>
                <w:szCs w:val="21"/>
                <w:lang w:bidi="ar"/>
              </w:rPr>
              <w:t>2024.06.14</w:t>
            </w:r>
          </w:p>
        </w:tc>
        <w:tc>
          <w:tcPr>
            <w:tcW w:w="965" w:type="dxa"/>
            <w:tcBorders>
              <w:top w:val="single" w:color="auto" w:sz="6" w:space="0"/>
              <w:left w:val="single" w:color="auto" w:sz="4" w:space="0"/>
              <w:bottom w:val="single" w:color="auto" w:sz="4" w:space="0"/>
              <w:right w:val="single" w:color="auto" w:sz="6" w:space="0"/>
            </w:tcBorders>
            <w:vAlign w:val="center"/>
          </w:tcPr>
          <w:p>
            <w:pPr>
              <w:spacing w:line="240" w:lineRule="auto"/>
              <w:ind w:firstLine="0" w:firstLineChars="0"/>
              <w:jc w:val="center"/>
              <w:rPr>
                <w:rFonts w:cs="Times New Roman"/>
                <w:sz w:val="21"/>
                <w:szCs w:val="21"/>
              </w:rPr>
            </w:pPr>
            <w:r>
              <w:rPr>
                <w:rFonts w:cs="Times New Roman"/>
                <w:sz w:val="21"/>
                <w:szCs w:val="21"/>
              </w:rPr>
              <w:t>AWA5688</w:t>
            </w:r>
          </w:p>
        </w:tc>
        <w:tc>
          <w:tcPr>
            <w:tcW w:w="1752" w:type="dxa"/>
            <w:tcBorders>
              <w:top w:val="single" w:color="auto" w:sz="6" w:space="0"/>
              <w:left w:val="single" w:color="auto" w:sz="6" w:space="0"/>
              <w:bottom w:val="single" w:color="auto" w:sz="4" w:space="0"/>
              <w:right w:val="single" w:color="auto" w:sz="6" w:space="0"/>
            </w:tcBorders>
            <w:vAlign w:val="center"/>
          </w:tcPr>
          <w:p>
            <w:pPr>
              <w:spacing w:line="240" w:lineRule="auto"/>
              <w:ind w:firstLine="0" w:firstLineChars="0"/>
              <w:jc w:val="center"/>
              <w:rPr>
                <w:rFonts w:cs="Times New Roman"/>
                <w:sz w:val="21"/>
                <w:szCs w:val="21"/>
              </w:rPr>
            </w:pPr>
            <w:r>
              <w:rPr>
                <w:rFonts w:cs="Times New Roman"/>
                <w:sz w:val="21"/>
                <w:szCs w:val="21"/>
              </w:rPr>
              <w:t>MMGR-XC-001-01</w:t>
            </w:r>
          </w:p>
        </w:tc>
        <w:tc>
          <w:tcPr>
            <w:tcW w:w="668" w:type="dxa"/>
            <w:tcBorders>
              <w:top w:val="single" w:color="auto" w:sz="6" w:space="0"/>
              <w:left w:val="single" w:color="auto" w:sz="6" w:space="0"/>
              <w:bottom w:val="single" w:color="auto" w:sz="4"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color w:val="000000"/>
                <w:kern w:val="0"/>
                <w:sz w:val="21"/>
                <w:szCs w:val="21"/>
                <w:lang w:bidi="ar"/>
              </w:rPr>
              <w:t>dB(A)</w:t>
            </w:r>
          </w:p>
        </w:tc>
        <w:tc>
          <w:tcPr>
            <w:tcW w:w="563" w:type="dxa"/>
            <w:tcBorders>
              <w:top w:val="single" w:color="auto" w:sz="6" w:space="0"/>
              <w:left w:val="single" w:color="auto" w:sz="6" w:space="0"/>
              <w:bottom w:val="single" w:color="auto" w:sz="4"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sz w:val="21"/>
                <w:szCs w:val="21"/>
              </w:rPr>
              <w:t>94.0</w:t>
            </w:r>
          </w:p>
        </w:tc>
        <w:tc>
          <w:tcPr>
            <w:tcW w:w="546" w:type="dxa"/>
            <w:tcBorders>
              <w:top w:val="single" w:color="auto" w:sz="6" w:space="0"/>
              <w:left w:val="single" w:color="auto" w:sz="6" w:space="0"/>
              <w:bottom w:val="single" w:color="auto" w:sz="4"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sz w:val="21"/>
                <w:szCs w:val="21"/>
              </w:rPr>
              <w:t>93.9</w:t>
            </w:r>
          </w:p>
        </w:tc>
        <w:tc>
          <w:tcPr>
            <w:tcW w:w="546" w:type="dxa"/>
            <w:tcBorders>
              <w:top w:val="single" w:color="auto" w:sz="6" w:space="0"/>
              <w:left w:val="single" w:color="auto" w:sz="6" w:space="0"/>
              <w:bottom w:val="single" w:color="auto" w:sz="4"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sz w:val="21"/>
                <w:szCs w:val="21"/>
              </w:rPr>
              <w:t>-0.1</w:t>
            </w:r>
          </w:p>
        </w:tc>
        <w:tc>
          <w:tcPr>
            <w:tcW w:w="546" w:type="dxa"/>
            <w:tcBorders>
              <w:top w:val="single" w:color="auto" w:sz="6" w:space="0"/>
              <w:left w:val="single" w:color="auto" w:sz="6" w:space="0"/>
              <w:bottom w:val="single" w:color="auto" w:sz="4"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sz w:val="21"/>
                <w:szCs w:val="21"/>
              </w:rPr>
              <w:t>合格</w:t>
            </w:r>
          </w:p>
        </w:tc>
        <w:tc>
          <w:tcPr>
            <w:tcW w:w="546" w:type="dxa"/>
            <w:tcBorders>
              <w:top w:val="single" w:color="auto" w:sz="6" w:space="0"/>
              <w:left w:val="single" w:color="auto" w:sz="6" w:space="0"/>
              <w:bottom w:val="single" w:color="auto" w:sz="4"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sz w:val="21"/>
                <w:szCs w:val="21"/>
              </w:rPr>
              <w:t>93.9</w:t>
            </w:r>
          </w:p>
        </w:tc>
        <w:tc>
          <w:tcPr>
            <w:tcW w:w="546" w:type="dxa"/>
            <w:tcBorders>
              <w:top w:val="single" w:color="auto" w:sz="6" w:space="0"/>
              <w:left w:val="single" w:color="auto" w:sz="6" w:space="0"/>
              <w:bottom w:val="single" w:color="auto" w:sz="4" w:space="0"/>
              <w:right w:val="single" w:color="auto" w:sz="6"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sz w:val="21"/>
                <w:szCs w:val="21"/>
              </w:rPr>
              <w:t>-0.1</w:t>
            </w:r>
          </w:p>
        </w:tc>
        <w:tc>
          <w:tcPr>
            <w:tcW w:w="545" w:type="dxa"/>
            <w:tcBorders>
              <w:top w:val="single" w:color="auto" w:sz="6" w:space="0"/>
              <w:left w:val="single" w:color="auto" w:sz="6" w:space="0"/>
              <w:bottom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sz w:val="21"/>
                <w:szCs w:val="21"/>
              </w:rPr>
              <w:t>合格</w:t>
            </w:r>
          </w:p>
        </w:tc>
      </w:tr>
    </w:tbl>
    <w:p>
      <w:pPr>
        <w:pStyle w:val="35"/>
      </w:pPr>
    </w:p>
    <w:p>
      <w:pPr>
        <w:pStyle w:val="35"/>
      </w:pPr>
      <w:r>
        <w:rPr>
          <w:rFonts w:hint="eastAsia"/>
        </w:rPr>
        <w:t xml:space="preserve">表 </w:t>
      </w:r>
      <w:r>
        <w:t xml:space="preserve">8.3-2 </w:t>
      </w:r>
      <w:r>
        <w:rPr>
          <w:rFonts w:hint="eastAsia"/>
        </w:rPr>
        <w:t>废水监测质控数据表</w:t>
      </w:r>
    </w:p>
    <w:tbl>
      <w:tblPr>
        <w:tblStyle w:val="22"/>
        <w:tblpPr w:leftFromText="180" w:rightFromText="180" w:vertAnchor="text" w:horzAnchor="page" w:tblpXSpec="center" w:tblpY="44"/>
        <w:tblOverlap w:val="never"/>
        <w:tblW w:w="831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07"/>
        <w:gridCol w:w="1592"/>
        <w:gridCol w:w="867"/>
        <w:gridCol w:w="739"/>
        <w:gridCol w:w="802"/>
        <w:gridCol w:w="750"/>
        <w:gridCol w:w="800"/>
        <w:gridCol w:w="782"/>
        <w:gridCol w:w="77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405" w:hRule="atLeast"/>
        </w:trPr>
        <w:tc>
          <w:tcPr>
            <w:tcW w:w="1207" w:type="dxa"/>
            <w:vMerge w:val="restart"/>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r>
              <w:rPr>
                <w:rFonts w:cs="Times New Roman"/>
                <w:b/>
                <w:bCs/>
                <w:sz w:val="21"/>
                <w:szCs w:val="21"/>
              </w:rPr>
              <w:t>日期</w:t>
            </w:r>
          </w:p>
        </w:tc>
        <w:tc>
          <w:tcPr>
            <w:tcW w:w="1592" w:type="dxa"/>
            <w:vMerge w:val="restart"/>
            <w:tcBorders>
              <w:lef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r>
              <w:rPr>
                <w:rFonts w:cs="Times New Roman"/>
                <w:b/>
                <w:bCs/>
                <w:sz w:val="21"/>
                <w:szCs w:val="21"/>
              </w:rPr>
              <w:t>检测因子</w:t>
            </w:r>
          </w:p>
        </w:tc>
        <w:tc>
          <w:tcPr>
            <w:tcW w:w="867"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r>
              <w:rPr>
                <w:rFonts w:cs="Times New Roman"/>
                <w:b/>
                <w:bCs/>
                <w:sz w:val="21"/>
                <w:szCs w:val="21"/>
              </w:rPr>
              <w:t>有效数据（个）</w:t>
            </w:r>
          </w:p>
        </w:tc>
        <w:tc>
          <w:tcPr>
            <w:tcW w:w="2291" w:type="dxa"/>
            <w:gridSpan w:val="3"/>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r>
              <w:rPr>
                <w:rFonts w:cs="Times New Roman"/>
                <w:b/>
                <w:bCs/>
                <w:sz w:val="21"/>
                <w:szCs w:val="21"/>
              </w:rPr>
              <w:t>现场/室内平行样分析</w:t>
            </w:r>
          </w:p>
        </w:tc>
        <w:tc>
          <w:tcPr>
            <w:tcW w:w="2359" w:type="dxa"/>
            <w:gridSpan w:val="3"/>
            <w:tcBorders>
              <w:right w:val="single" w:color="auto" w:sz="4" w:space="0"/>
            </w:tcBorders>
            <w:vAlign w:val="center"/>
          </w:tcPr>
          <w:p>
            <w:pPr>
              <w:autoSpaceDE w:val="0"/>
              <w:autoSpaceDN w:val="0"/>
              <w:adjustRightInd w:val="0"/>
              <w:spacing w:before="31" w:beforeLines="10" w:after="31" w:afterLines="10" w:line="240" w:lineRule="auto"/>
              <w:ind w:firstLine="0" w:firstLineChars="0"/>
              <w:jc w:val="center"/>
              <w:rPr>
                <w:rFonts w:cs="Times New Roman"/>
                <w:b/>
                <w:bCs/>
                <w:sz w:val="21"/>
                <w:szCs w:val="21"/>
              </w:rPr>
            </w:pPr>
            <w:r>
              <w:rPr>
                <w:rFonts w:cs="Times New Roman"/>
                <w:b/>
                <w:bCs/>
                <w:sz w:val="21"/>
                <w:szCs w:val="21"/>
              </w:rPr>
              <w:t>质量考核分析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1" w:hRule="atLeast"/>
        </w:trPr>
        <w:tc>
          <w:tcPr>
            <w:tcW w:w="1207" w:type="dxa"/>
            <w:vMerge w:val="continue"/>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p>
        </w:tc>
        <w:tc>
          <w:tcPr>
            <w:tcW w:w="1592" w:type="dxa"/>
            <w:vMerge w:val="continue"/>
            <w:tcBorders>
              <w:lef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p>
        </w:tc>
        <w:tc>
          <w:tcPr>
            <w:tcW w:w="867" w:type="dxa"/>
            <w:vMerge w:val="continue"/>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p>
        </w:tc>
        <w:tc>
          <w:tcPr>
            <w:tcW w:w="739" w:type="dxa"/>
            <w:vAlign w:val="center"/>
          </w:tcPr>
          <w:p>
            <w:pPr>
              <w:autoSpaceDE w:val="0"/>
              <w:autoSpaceDN w:val="0"/>
              <w:adjustRightInd w:val="0"/>
              <w:spacing w:line="288" w:lineRule="auto"/>
              <w:ind w:firstLine="0" w:firstLineChars="0"/>
              <w:jc w:val="center"/>
              <w:rPr>
                <w:rFonts w:cs="Times New Roman"/>
                <w:b/>
                <w:bCs/>
                <w:sz w:val="21"/>
                <w:szCs w:val="21"/>
              </w:rPr>
            </w:pPr>
            <w:r>
              <w:rPr>
                <w:rFonts w:cs="Times New Roman"/>
                <w:b/>
                <w:bCs/>
                <w:sz w:val="21"/>
                <w:szCs w:val="21"/>
              </w:rPr>
              <w:t>平行(对)</w:t>
            </w:r>
          </w:p>
        </w:tc>
        <w:tc>
          <w:tcPr>
            <w:tcW w:w="802" w:type="dxa"/>
            <w:vAlign w:val="center"/>
          </w:tcPr>
          <w:p>
            <w:pPr>
              <w:autoSpaceDE w:val="0"/>
              <w:autoSpaceDN w:val="0"/>
              <w:adjustRightInd w:val="0"/>
              <w:spacing w:line="240" w:lineRule="auto"/>
              <w:ind w:firstLine="0" w:firstLineChars="0"/>
              <w:jc w:val="center"/>
              <w:rPr>
                <w:rFonts w:cs="Times New Roman"/>
                <w:b/>
                <w:bCs/>
                <w:sz w:val="21"/>
                <w:szCs w:val="21"/>
              </w:rPr>
            </w:pPr>
            <w:r>
              <w:rPr>
                <w:rFonts w:cs="Times New Roman"/>
                <w:b/>
                <w:bCs/>
                <w:sz w:val="21"/>
                <w:szCs w:val="21"/>
              </w:rPr>
              <w:t>相对/绝对偏差(%)</w:t>
            </w:r>
          </w:p>
        </w:tc>
        <w:tc>
          <w:tcPr>
            <w:tcW w:w="750" w:type="dxa"/>
            <w:vAlign w:val="center"/>
          </w:tcPr>
          <w:p>
            <w:pPr>
              <w:autoSpaceDE w:val="0"/>
              <w:autoSpaceDN w:val="0"/>
              <w:adjustRightInd w:val="0"/>
              <w:spacing w:before="31" w:beforeLines="10" w:after="31" w:afterLines="10" w:line="288" w:lineRule="auto"/>
              <w:ind w:firstLine="0" w:firstLineChars="0"/>
              <w:jc w:val="center"/>
              <w:rPr>
                <w:rFonts w:cs="Times New Roman"/>
                <w:b/>
                <w:bCs/>
                <w:sz w:val="21"/>
                <w:szCs w:val="21"/>
              </w:rPr>
            </w:pPr>
            <w:r>
              <w:rPr>
                <w:rFonts w:cs="Times New Roman"/>
                <w:b/>
                <w:bCs/>
                <w:sz w:val="21"/>
                <w:szCs w:val="21"/>
              </w:rPr>
              <w:t>合格率(%)</w:t>
            </w:r>
          </w:p>
        </w:tc>
        <w:tc>
          <w:tcPr>
            <w:tcW w:w="800" w:type="dxa"/>
            <w:vAlign w:val="center"/>
          </w:tcPr>
          <w:p>
            <w:pPr>
              <w:autoSpaceDE w:val="0"/>
              <w:autoSpaceDN w:val="0"/>
              <w:adjustRightInd w:val="0"/>
              <w:spacing w:line="280" w:lineRule="exact"/>
              <w:ind w:firstLine="0" w:firstLineChars="0"/>
              <w:jc w:val="center"/>
              <w:rPr>
                <w:rFonts w:cs="Times New Roman"/>
                <w:b/>
                <w:bCs/>
                <w:sz w:val="21"/>
                <w:szCs w:val="21"/>
              </w:rPr>
            </w:pPr>
            <w:r>
              <w:rPr>
                <w:rFonts w:cs="Times New Roman"/>
                <w:b/>
                <w:bCs/>
                <w:sz w:val="21"/>
                <w:szCs w:val="21"/>
              </w:rPr>
              <w:t>标样相对误差(%)</w:t>
            </w:r>
          </w:p>
        </w:tc>
        <w:tc>
          <w:tcPr>
            <w:tcW w:w="782" w:type="dxa"/>
            <w:vAlign w:val="center"/>
          </w:tcPr>
          <w:p>
            <w:pPr>
              <w:autoSpaceDE w:val="0"/>
              <w:autoSpaceDN w:val="0"/>
              <w:adjustRightInd w:val="0"/>
              <w:spacing w:line="280" w:lineRule="exact"/>
              <w:ind w:firstLine="0" w:firstLineChars="0"/>
              <w:jc w:val="center"/>
              <w:rPr>
                <w:rFonts w:cs="Times New Roman"/>
                <w:b/>
                <w:bCs/>
                <w:sz w:val="21"/>
                <w:szCs w:val="21"/>
              </w:rPr>
            </w:pPr>
            <w:r>
              <w:rPr>
                <w:rFonts w:cs="Times New Roman"/>
                <w:b/>
                <w:bCs/>
                <w:sz w:val="21"/>
                <w:szCs w:val="21"/>
              </w:rPr>
              <w:t>加标回</w:t>
            </w:r>
          </w:p>
          <w:p>
            <w:pPr>
              <w:autoSpaceDE w:val="0"/>
              <w:autoSpaceDN w:val="0"/>
              <w:adjustRightInd w:val="0"/>
              <w:spacing w:line="280" w:lineRule="exact"/>
              <w:ind w:firstLine="0" w:firstLineChars="0"/>
              <w:jc w:val="center"/>
              <w:rPr>
                <w:rFonts w:cs="Times New Roman"/>
                <w:b/>
                <w:bCs/>
                <w:sz w:val="21"/>
                <w:szCs w:val="21"/>
              </w:rPr>
            </w:pPr>
            <w:r>
              <w:rPr>
                <w:rFonts w:cs="Times New Roman"/>
                <w:b/>
                <w:bCs/>
                <w:sz w:val="21"/>
                <w:szCs w:val="21"/>
              </w:rPr>
              <w:t>收率(%)</w:t>
            </w:r>
          </w:p>
        </w:tc>
        <w:tc>
          <w:tcPr>
            <w:tcW w:w="777" w:type="dxa"/>
            <w:tcBorders>
              <w:right w:val="single" w:color="auto" w:sz="4" w:space="0"/>
            </w:tcBorders>
            <w:vAlign w:val="center"/>
          </w:tcPr>
          <w:p>
            <w:pPr>
              <w:autoSpaceDE w:val="0"/>
              <w:autoSpaceDN w:val="0"/>
              <w:adjustRightInd w:val="0"/>
              <w:spacing w:line="280" w:lineRule="exact"/>
              <w:ind w:firstLine="0" w:firstLineChars="0"/>
              <w:jc w:val="center"/>
              <w:rPr>
                <w:rFonts w:cs="Times New Roman"/>
                <w:b/>
                <w:bCs/>
                <w:sz w:val="21"/>
                <w:szCs w:val="21"/>
              </w:rPr>
            </w:pPr>
            <w:r>
              <w:rPr>
                <w:rFonts w:cs="Times New Roman"/>
                <w:b/>
                <w:bCs/>
                <w:sz w:val="21"/>
                <w:szCs w:val="21"/>
              </w:rPr>
              <w:t>合格范围(%)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83" w:hRule="atLeast"/>
        </w:trPr>
        <w:tc>
          <w:tcPr>
            <w:tcW w:w="1207" w:type="dxa"/>
            <w:vMerge w:val="restart"/>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sz w:val="21"/>
                <w:szCs w:val="21"/>
              </w:rPr>
              <w:t>2024.06.13</w:t>
            </w:r>
          </w:p>
        </w:tc>
        <w:tc>
          <w:tcPr>
            <w:tcW w:w="1592" w:type="dxa"/>
            <w:tcBorders>
              <w:left w:val="single" w:color="auto" w:sz="4" w:space="0"/>
            </w:tcBorders>
            <w:vAlign w:val="center"/>
          </w:tcPr>
          <w:p>
            <w:pPr>
              <w:autoSpaceDE w:val="0"/>
              <w:autoSpaceDN w:val="0"/>
              <w:adjustRightInd w:val="0"/>
              <w:spacing w:line="264" w:lineRule="auto"/>
              <w:ind w:firstLine="0" w:firstLineChars="0"/>
              <w:jc w:val="center"/>
              <w:rPr>
                <w:rFonts w:cs="Times New Roman"/>
                <w:sz w:val="21"/>
                <w:szCs w:val="21"/>
              </w:rPr>
            </w:pPr>
            <w:r>
              <w:rPr>
                <w:rFonts w:cs="Times New Roman"/>
                <w:sz w:val="21"/>
                <w:szCs w:val="21"/>
              </w:rPr>
              <w:t xml:space="preserve">pH值（无量纲） </w:t>
            </w:r>
          </w:p>
        </w:tc>
        <w:tc>
          <w:tcPr>
            <w:tcW w:w="86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9</w:t>
            </w:r>
          </w:p>
        </w:tc>
        <w:tc>
          <w:tcPr>
            <w:tcW w:w="739"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w:t>
            </w:r>
          </w:p>
        </w:tc>
        <w:tc>
          <w:tcPr>
            <w:tcW w:w="80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0</w:t>
            </w:r>
          </w:p>
        </w:tc>
        <w:tc>
          <w:tcPr>
            <w:tcW w:w="75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100</w:t>
            </w:r>
          </w:p>
        </w:tc>
        <w:tc>
          <w:tcPr>
            <w:tcW w:w="80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8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7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83" w:hRule="atLeast"/>
        </w:trPr>
        <w:tc>
          <w:tcPr>
            <w:tcW w:w="1207" w:type="dxa"/>
            <w:vMerge w:val="continue"/>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p>
        </w:tc>
        <w:tc>
          <w:tcPr>
            <w:tcW w:w="1592" w:type="dxa"/>
            <w:tcBorders>
              <w:left w:val="single" w:color="auto" w:sz="4" w:space="0"/>
            </w:tcBorders>
            <w:vAlign w:val="center"/>
          </w:tcPr>
          <w:p>
            <w:pPr>
              <w:autoSpaceDE w:val="0"/>
              <w:autoSpaceDN w:val="0"/>
              <w:adjustRightInd w:val="0"/>
              <w:spacing w:line="264" w:lineRule="auto"/>
              <w:ind w:firstLine="0" w:firstLineChars="0"/>
              <w:jc w:val="center"/>
              <w:rPr>
                <w:rFonts w:cs="Times New Roman"/>
                <w:sz w:val="21"/>
                <w:szCs w:val="21"/>
              </w:rPr>
            </w:pPr>
            <w:r>
              <w:rPr>
                <w:rFonts w:cs="Times New Roman"/>
                <w:sz w:val="21"/>
                <w:szCs w:val="21"/>
              </w:rPr>
              <w:t>水温</w:t>
            </w:r>
          </w:p>
        </w:tc>
        <w:tc>
          <w:tcPr>
            <w:tcW w:w="86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9</w:t>
            </w:r>
          </w:p>
        </w:tc>
        <w:tc>
          <w:tcPr>
            <w:tcW w:w="739"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w:t>
            </w:r>
          </w:p>
        </w:tc>
        <w:tc>
          <w:tcPr>
            <w:tcW w:w="80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0</w:t>
            </w:r>
          </w:p>
        </w:tc>
        <w:tc>
          <w:tcPr>
            <w:tcW w:w="75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100</w:t>
            </w:r>
          </w:p>
        </w:tc>
        <w:tc>
          <w:tcPr>
            <w:tcW w:w="80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8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7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51" w:hRule="atLeast"/>
        </w:trPr>
        <w:tc>
          <w:tcPr>
            <w:tcW w:w="1207" w:type="dxa"/>
            <w:vMerge w:val="continue"/>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p>
        </w:tc>
        <w:tc>
          <w:tcPr>
            <w:tcW w:w="1592" w:type="dxa"/>
            <w:tcBorders>
              <w:left w:val="single" w:color="auto" w:sz="4" w:space="0"/>
            </w:tcBorders>
            <w:vAlign w:val="center"/>
          </w:tcPr>
          <w:p>
            <w:pPr>
              <w:autoSpaceDE w:val="0"/>
              <w:autoSpaceDN w:val="0"/>
              <w:adjustRightInd w:val="0"/>
              <w:spacing w:line="264" w:lineRule="auto"/>
              <w:ind w:firstLine="0" w:firstLineChars="0"/>
              <w:jc w:val="center"/>
              <w:rPr>
                <w:rFonts w:cs="Times New Roman"/>
                <w:sz w:val="21"/>
                <w:szCs w:val="21"/>
                <w:lang w:val="zh-CN"/>
              </w:rPr>
            </w:pPr>
            <w:r>
              <w:rPr>
                <w:rFonts w:cs="Times New Roman"/>
                <w:sz w:val="21"/>
                <w:szCs w:val="21"/>
              </w:rPr>
              <w:t>化学需氧量</w:t>
            </w:r>
          </w:p>
        </w:tc>
        <w:tc>
          <w:tcPr>
            <w:tcW w:w="86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w:t>
            </w:r>
          </w:p>
        </w:tc>
        <w:tc>
          <w:tcPr>
            <w:tcW w:w="739" w:type="dxa"/>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w:t>
            </w:r>
          </w:p>
        </w:tc>
        <w:tc>
          <w:tcPr>
            <w:tcW w:w="80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3.1</w:t>
            </w:r>
          </w:p>
        </w:tc>
        <w:tc>
          <w:tcPr>
            <w:tcW w:w="75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100</w:t>
            </w:r>
          </w:p>
        </w:tc>
        <w:tc>
          <w:tcPr>
            <w:tcW w:w="80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8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7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2" w:hRule="atLeast"/>
        </w:trPr>
        <w:tc>
          <w:tcPr>
            <w:tcW w:w="1207" w:type="dxa"/>
            <w:vMerge w:val="continue"/>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p>
        </w:tc>
        <w:tc>
          <w:tcPr>
            <w:tcW w:w="1592" w:type="dxa"/>
            <w:tcBorders>
              <w:left w:val="single" w:color="auto" w:sz="4" w:space="0"/>
            </w:tcBorders>
            <w:vAlign w:val="center"/>
          </w:tcPr>
          <w:p>
            <w:pPr>
              <w:autoSpaceDE w:val="0"/>
              <w:autoSpaceDN w:val="0"/>
              <w:adjustRightInd w:val="0"/>
              <w:spacing w:line="264" w:lineRule="auto"/>
              <w:ind w:firstLine="0" w:firstLineChars="0"/>
              <w:jc w:val="center"/>
              <w:rPr>
                <w:rFonts w:cs="Times New Roman"/>
                <w:sz w:val="21"/>
                <w:szCs w:val="21"/>
                <w:lang w:val="zh-CN"/>
              </w:rPr>
            </w:pPr>
            <w:r>
              <w:rPr>
                <w:rFonts w:cs="Times New Roman"/>
                <w:sz w:val="21"/>
                <w:szCs w:val="21"/>
              </w:rPr>
              <w:t>五日生化需氧量</w:t>
            </w:r>
          </w:p>
        </w:tc>
        <w:tc>
          <w:tcPr>
            <w:tcW w:w="86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w:t>
            </w:r>
          </w:p>
        </w:tc>
        <w:tc>
          <w:tcPr>
            <w:tcW w:w="739" w:type="dxa"/>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w:t>
            </w:r>
          </w:p>
        </w:tc>
        <w:tc>
          <w:tcPr>
            <w:tcW w:w="80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2.4</w:t>
            </w:r>
          </w:p>
        </w:tc>
        <w:tc>
          <w:tcPr>
            <w:tcW w:w="75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100</w:t>
            </w:r>
          </w:p>
        </w:tc>
        <w:tc>
          <w:tcPr>
            <w:tcW w:w="80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8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7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2" w:hRule="atLeast"/>
        </w:trPr>
        <w:tc>
          <w:tcPr>
            <w:tcW w:w="1207" w:type="dxa"/>
            <w:vMerge w:val="continue"/>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p>
        </w:tc>
        <w:tc>
          <w:tcPr>
            <w:tcW w:w="1592" w:type="dxa"/>
            <w:tcBorders>
              <w:left w:val="single" w:color="auto" w:sz="4" w:space="0"/>
            </w:tcBorders>
            <w:vAlign w:val="center"/>
          </w:tcPr>
          <w:p>
            <w:pPr>
              <w:autoSpaceDE w:val="0"/>
              <w:autoSpaceDN w:val="0"/>
              <w:adjustRightInd w:val="0"/>
              <w:spacing w:line="264" w:lineRule="auto"/>
              <w:ind w:firstLine="0" w:firstLineChars="0"/>
              <w:jc w:val="center"/>
              <w:rPr>
                <w:rFonts w:cs="Times New Roman"/>
                <w:sz w:val="21"/>
                <w:szCs w:val="21"/>
                <w:lang w:val="zh-CN"/>
              </w:rPr>
            </w:pPr>
            <w:r>
              <w:rPr>
                <w:rFonts w:cs="Times New Roman"/>
                <w:sz w:val="21"/>
                <w:szCs w:val="21"/>
              </w:rPr>
              <w:t>氨氮</w:t>
            </w:r>
          </w:p>
        </w:tc>
        <w:tc>
          <w:tcPr>
            <w:tcW w:w="86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5</w:t>
            </w:r>
          </w:p>
        </w:tc>
        <w:tc>
          <w:tcPr>
            <w:tcW w:w="739" w:type="dxa"/>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w:t>
            </w:r>
          </w:p>
        </w:tc>
        <w:tc>
          <w:tcPr>
            <w:tcW w:w="80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w:t>
            </w:r>
          </w:p>
        </w:tc>
        <w:tc>
          <w:tcPr>
            <w:tcW w:w="75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100</w:t>
            </w:r>
          </w:p>
        </w:tc>
        <w:tc>
          <w:tcPr>
            <w:tcW w:w="80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8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7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2" w:hRule="atLeast"/>
        </w:trPr>
        <w:tc>
          <w:tcPr>
            <w:tcW w:w="1207" w:type="dxa"/>
            <w:vMerge w:val="continue"/>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p>
        </w:tc>
        <w:tc>
          <w:tcPr>
            <w:tcW w:w="1592" w:type="dxa"/>
            <w:tcBorders>
              <w:left w:val="single" w:color="auto" w:sz="4" w:space="0"/>
            </w:tcBorders>
            <w:vAlign w:val="center"/>
          </w:tcPr>
          <w:p>
            <w:pPr>
              <w:autoSpaceDE w:val="0"/>
              <w:autoSpaceDN w:val="0"/>
              <w:adjustRightInd w:val="0"/>
              <w:spacing w:line="264" w:lineRule="auto"/>
              <w:ind w:firstLine="0" w:firstLineChars="0"/>
              <w:jc w:val="center"/>
              <w:rPr>
                <w:rFonts w:cs="Times New Roman"/>
                <w:sz w:val="21"/>
                <w:szCs w:val="21"/>
              </w:rPr>
            </w:pPr>
            <w:r>
              <w:rPr>
                <w:rFonts w:cs="Times New Roman"/>
                <w:sz w:val="21"/>
                <w:szCs w:val="21"/>
              </w:rPr>
              <w:t>石油类</w:t>
            </w:r>
          </w:p>
        </w:tc>
        <w:tc>
          <w:tcPr>
            <w:tcW w:w="86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6</w:t>
            </w:r>
          </w:p>
        </w:tc>
        <w:tc>
          <w:tcPr>
            <w:tcW w:w="739" w:type="dxa"/>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w:t>
            </w:r>
          </w:p>
        </w:tc>
        <w:tc>
          <w:tcPr>
            <w:tcW w:w="802" w:type="dxa"/>
            <w:vAlign w:val="center"/>
          </w:tcPr>
          <w:p>
            <w:pPr>
              <w:autoSpaceDE w:val="0"/>
              <w:autoSpaceDN w:val="0"/>
              <w:adjustRightInd w:val="0"/>
              <w:spacing w:line="240" w:lineRule="auto"/>
              <w:ind w:firstLine="0" w:firstLineChars="0"/>
              <w:jc w:val="center"/>
              <w:rPr>
                <w:rFonts w:cs="Times New Roman"/>
                <w:sz w:val="21"/>
                <w:szCs w:val="21"/>
              </w:rPr>
            </w:pPr>
            <w:r>
              <w:rPr>
                <w:rFonts w:cs="Times New Roman"/>
                <w:sz w:val="21"/>
                <w:szCs w:val="21"/>
              </w:rPr>
              <w:t>20.9</w:t>
            </w:r>
          </w:p>
        </w:tc>
        <w:tc>
          <w:tcPr>
            <w:tcW w:w="750" w:type="dxa"/>
            <w:vAlign w:val="center"/>
          </w:tcPr>
          <w:p>
            <w:pPr>
              <w:autoSpaceDE w:val="0"/>
              <w:autoSpaceDN w:val="0"/>
              <w:adjustRightInd w:val="0"/>
              <w:spacing w:line="240" w:lineRule="auto"/>
              <w:ind w:firstLine="0" w:firstLineChars="0"/>
              <w:jc w:val="center"/>
              <w:rPr>
                <w:rFonts w:cs="Times New Roman"/>
                <w:sz w:val="21"/>
                <w:szCs w:val="21"/>
              </w:rPr>
            </w:pPr>
            <w:r>
              <w:rPr>
                <w:rFonts w:cs="Times New Roman"/>
                <w:sz w:val="21"/>
                <w:szCs w:val="21"/>
              </w:rPr>
              <w:t>100</w:t>
            </w:r>
          </w:p>
        </w:tc>
        <w:tc>
          <w:tcPr>
            <w:tcW w:w="800" w:type="dxa"/>
            <w:vAlign w:val="center"/>
          </w:tcPr>
          <w:p>
            <w:pPr>
              <w:autoSpaceDE w:val="0"/>
              <w:autoSpaceDN w:val="0"/>
              <w:adjustRightInd w:val="0"/>
              <w:spacing w:line="240" w:lineRule="auto"/>
              <w:ind w:firstLine="0" w:firstLineChars="0"/>
              <w:jc w:val="center"/>
              <w:rPr>
                <w:rFonts w:cs="Times New Roman"/>
                <w:sz w:val="21"/>
                <w:szCs w:val="21"/>
              </w:rPr>
            </w:pPr>
            <w:r>
              <w:rPr>
                <w:rFonts w:cs="Times New Roman"/>
                <w:sz w:val="21"/>
                <w:szCs w:val="21"/>
              </w:rPr>
              <w:t>0.5</w:t>
            </w:r>
          </w:p>
        </w:tc>
        <w:tc>
          <w:tcPr>
            <w:tcW w:w="782" w:type="dxa"/>
            <w:vAlign w:val="center"/>
          </w:tcPr>
          <w:p>
            <w:pPr>
              <w:autoSpaceDE w:val="0"/>
              <w:autoSpaceDN w:val="0"/>
              <w:adjustRightInd w:val="0"/>
              <w:spacing w:line="240" w:lineRule="auto"/>
              <w:ind w:firstLine="0" w:firstLineChars="0"/>
              <w:jc w:val="center"/>
              <w:rPr>
                <w:rFonts w:cs="Times New Roman"/>
                <w:sz w:val="21"/>
                <w:szCs w:val="21"/>
              </w:rPr>
            </w:pPr>
            <w:r>
              <w:rPr>
                <w:rFonts w:cs="Times New Roman"/>
                <w:sz w:val="21"/>
                <w:szCs w:val="21"/>
              </w:rPr>
              <w:t>--</w:t>
            </w:r>
          </w:p>
        </w:tc>
        <w:tc>
          <w:tcPr>
            <w:tcW w:w="777" w:type="dxa"/>
            <w:vAlign w:val="center"/>
          </w:tcPr>
          <w:p>
            <w:pPr>
              <w:autoSpaceDE w:val="0"/>
              <w:autoSpaceDN w:val="0"/>
              <w:adjustRightInd w:val="0"/>
              <w:spacing w:line="240" w:lineRule="auto"/>
              <w:ind w:firstLine="0" w:firstLineChars="0"/>
              <w:jc w:val="center"/>
              <w:rPr>
                <w:rFonts w:cs="Times New Roman"/>
                <w:sz w:val="21"/>
                <w:szCs w:val="21"/>
              </w:rPr>
            </w:pPr>
            <w:r>
              <w:rPr>
                <w:rFonts w:cs="Times New Roman"/>
                <w:sz w:val="21"/>
                <w:szCs w:val="21"/>
              </w:rPr>
              <w:t>±10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2" w:hRule="atLeast"/>
        </w:trPr>
        <w:tc>
          <w:tcPr>
            <w:tcW w:w="1207" w:type="dxa"/>
            <w:vMerge w:val="continue"/>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p>
        </w:tc>
        <w:tc>
          <w:tcPr>
            <w:tcW w:w="1592" w:type="dxa"/>
            <w:tcBorders>
              <w:left w:val="single" w:color="auto" w:sz="4" w:space="0"/>
            </w:tcBorders>
            <w:vAlign w:val="center"/>
          </w:tcPr>
          <w:p>
            <w:pPr>
              <w:autoSpaceDE w:val="0"/>
              <w:autoSpaceDN w:val="0"/>
              <w:adjustRightInd w:val="0"/>
              <w:spacing w:line="264" w:lineRule="auto"/>
              <w:ind w:firstLine="0" w:firstLineChars="0"/>
              <w:jc w:val="center"/>
              <w:rPr>
                <w:rFonts w:cs="Times New Roman"/>
                <w:sz w:val="21"/>
                <w:szCs w:val="21"/>
              </w:rPr>
            </w:pPr>
            <w:r>
              <w:rPr>
                <w:rFonts w:cs="Times New Roman"/>
                <w:sz w:val="21"/>
                <w:szCs w:val="21"/>
              </w:rPr>
              <w:t>LAS</w:t>
            </w:r>
          </w:p>
        </w:tc>
        <w:tc>
          <w:tcPr>
            <w:tcW w:w="86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6</w:t>
            </w:r>
          </w:p>
        </w:tc>
        <w:tc>
          <w:tcPr>
            <w:tcW w:w="739" w:type="dxa"/>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w:t>
            </w:r>
          </w:p>
        </w:tc>
        <w:tc>
          <w:tcPr>
            <w:tcW w:w="80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1.8</w:t>
            </w:r>
          </w:p>
        </w:tc>
        <w:tc>
          <w:tcPr>
            <w:tcW w:w="75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100</w:t>
            </w:r>
          </w:p>
        </w:tc>
        <w:tc>
          <w:tcPr>
            <w:tcW w:w="80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8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91</w:t>
            </w:r>
          </w:p>
        </w:tc>
        <w:tc>
          <w:tcPr>
            <w:tcW w:w="77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90-110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2" w:hRule="atLeast"/>
        </w:trPr>
        <w:tc>
          <w:tcPr>
            <w:tcW w:w="1207" w:type="dxa"/>
            <w:vMerge w:val="restart"/>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r>
              <w:rPr>
                <w:rFonts w:cs="Times New Roman"/>
                <w:sz w:val="21"/>
                <w:szCs w:val="21"/>
              </w:rPr>
              <w:t>2024.06.14</w:t>
            </w:r>
          </w:p>
        </w:tc>
        <w:tc>
          <w:tcPr>
            <w:tcW w:w="1592" w:type="dxa"/>
            <w:tcBorders>
              <w:left w:val="single" w:color="auto" w:sz="4" w:space="0"/>
            </w:tcBorders>
            <w:vAlign w:val="center"/>
          </w:tcPr>
          <w:p>
            <w:pPr>
              <w:autoSpaceDE w:val="0"/>
              <w:autoSpaceDN w:val="0"/>
              <w:adjustRightInd w:val="0"/>
              <w:spacing w:line="264" w:lineRule="auto"/>
              <w:ind w:firstLine="0" w:firstLineChars="0"/>
              <w:jc w:val="center"/>
              <w:rPr>
                <w:rFonts w:cs="Times New Roman"/>
                <w:sz w:val="21"/>
                <w:szCs w:val="21"/>
              </w:rPr>
            </w:pPr>
            <w:r>
              <w:rPr>
                <w:rFonts w:cs="Times New Roman"/>
                <w:sz w:val="21"/>
                <w:szCs w:val="21"/>
              </w:rPr>
              <w:t xml:space="preserve">pH值（无量纲） </w:t>
            </w:r>
          </w:p>
        </w:tc>
        <w:tc>
          <w:tcPr>
            <w:tcW w:w="86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9</w:t>
            </w:r>
          </w:p>
        </w:tc>
        <w:tc>
          <w:tcPr>
            <w:tcW w:w="739"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w:t>
            </w:r>
          </w:p>
        </w:tc>
        <w:tc>
          <w:tcPr>
            <w:tcW w:w="80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0</w:t>
            </w:r>
          </w:p>
        </w:tc>
        <w:tc>
          <w:tcPr>
            <w:tcW w:w="75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100</w:t>
            </w:r>
          </w:p>
        </w:tc>
        <w:tc>
          <w:tcPr>
            <w:tcW w:w="80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8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7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2" w:hRule="atLeast"/>
        </w:trPr>
        <w:tc>
          <w:tcPr>
            <w:tcW w:w="1207" w:type="dxa"/>
            <w:vMerge w:val="continue"/>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p>
        </w:tc>
        <w:tc>
          <w:tcPr>
            <w:tcW w:w="1592" w:type="dxa"/>
            <w:tcBorders>
              <w:left w:val="single" w:color="auto" w:sz="4" w:space="0"/>
            </w:tcBorders>
            <w:vAlign w:val="center"/>
          </w:tcPr>
          <w:p>
            <w:pPr>
              <w:autoSpaceDE w:val="0"/>
              <w:autoSpaceDN w:val="0"/>
              <w:adjustRightInd w:val="0"/>
              <w:spacing w:line="264" w:lineRule="auto"/>
              <w:ind w:firstLine="0" w:firstLineChars="0"/>
              <w:jc w:val="center"/>
              <w:rPr>
                <w:rFonts w:cs="Times New Roman"/>
                <w:sz w:val="21"/>
                <w:szCs w:val="21"/>
              </w:rPr>
            </w:pPr>
            <w:r>
              <w:rPr>
                <w:rFonts w:cs="Times New Roman"/>
                <w:sz w:val="21"/>
                <w:szCs w:val="21"/>
              </w:rPr>
              <w:t>水温</w:t>
            </w:r>
          </w:p>
        </w:tc>
        <w:tc>
          <w:tcPr>
            <w:tcW w:w="86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9</w:t>
            </w:r>
          </w:p>
        </w:tc>
        <w:tc>
          <w:tcPr>
            <w:tcW w:w="739"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w:t>
            </w:r>
          </w:p>
        </w:tc>
        <w:tc>
          <w:tcPr>
            <w:tcW w:w="80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0</w:t>
            </w:r>
          </w:p>
        </w:tc>
        <w:tc>
          <w:tcPr>
            <w:tcW w:w="75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100</w:t>
            </w:r>
          </w:p>
        </w:tc>
        <w:tc>
          <w:tcPr>
            <w:tcW w:w="80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8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7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2" w:hRule="atLeast"/>
        </w:trPr>
        <w:tc>
          <w:tcPr>
            <w:tcW w:w="1207" w:type="dxa"/>
            <w:vMerge w:val="continue"/>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p>
        </w:tc>
        <w:tc>
          <w:tcPr>
            <w:tcW w:w="1592" w:type="dxa"/>
            <w:tcBorders>
              <w:left w:val="single" w:color="auto" w:sz="4" w:space="0"/>
            </w:tcBorders>
            <w:vAlign w:val="center"/>
          </w:tcPr>
          <w:p>
            <w:pPr>
              <w:autoSpaceDE w:val="0"/>
              <w:autoSpaceDN w:val="0"/>
              <w:adjustRightInd w:val="0"/>
              <w:spacing w:line="264" w:lineRule="auto"/>
              <w:ind w:firstLine="0" w:firstLineChars="0"/>
              <w:jc w:val="center"/>
              <w:rPr>
                <w:rFonts w:cs="Times New Roman"/>
                <w:sz w:val="21"/>
                <w:szCs w:val="21"/>
                <w:lang w:val="zh-CN"/>
              </w:rPr>
            </w:pPr>
            <w:r>
              <w:rPr>
                <w:rFonts w:cs="Times New Roman"/>
                <w:sz w:val="21"/>
                <w:szCs w:val="21"/>
              </w:rPr>
              <w:t>化学需氧量</w:t>
            </w:r>
          </w:p>
        </w:tc>
        <w:tc>
          <w:tcPr>
            <w:tcW w:w="86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w:t>
            </w:r>
          </w:p>
        </w:tc>
        <w:tc>
          <w:tcPr>
            <w:tcW w:w="739" w:type="dxa"/>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w:t>
            </w:r>
          </w:p>
        </w:tc>
        <w:tc>
          <w:tcPr>
            <w:tcW w:w="80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2.5</w:t>
            </w:r>
          </w:p>
        </w:tc>
        <w:tc>
          <w:tcPr>
            <w:tcW w:w="75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100</w:t>
            </w:r>
          </w:p>
        </w:tc>
        <w:tc>
          <w:tcPr>
            <w:tcW w:w="80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5.2</w:t>
            </w:r>
          </w:p>
        </w:tc>
        <w:tc>
          <w:tcPr>
            <w:tcW w:w="78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7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2" w:hRule="atLeast"/>
        </w:trPr>
        <w:tc>
          <w:tcPr>
            <w:tcW w:w="1207" w:type="dxa"/>
            <w:vMerge w:val="continue"/>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p>
        </w:tc>
        <w:tc>
          <w:tcPr>
            <w:tcW w:w="1592" w:type="dxa"/>
            <w:tcBorders>
              <w:left w:val="single" w:color="auto" w:sz="4" w:space="0"/>
            </w:tcBorders>
            <w:vAlign w:val="center"/>
          </w:tcPr>
          <w:p>
            <w:pPr>
              <w:autoSpaceDE w:val="0"/>
              <w:autoSpaceDN w:val="0"/>
              <w:adjustRightInd w:val="0"/>
              <w:spacing w:line="264" w:lineRule="auto"/>
              <w:ind w:firstLine="0" w:firstLineChars="0"/>
              <w:jc w:val="center"/>
              <w:rPr>
                <w:rFonts w:cs="Times New Roman"/>
                <w:sz w:val="21"/>
                <w:szCs w:val="21"/>
                <w:lang w:val="zh-CN"/>
              </w:rPr>
            </w:pPr>
            <w:r>
              <w:rPr>
                <w:rFonts w:cs="Times New Roman"/>
                <w:sz w:val="21"/>
                <w:szCs w:val="21"/>
              </w:rPr>
              <w:t>五日生化需氧量</w:t>
            </w:r>
          </w:p>
        </w:tc>
        <w:tc>
          <w:tcPr>
            <w:tcW w:w="86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w:t>
            </w:r>
          </w:p>
        </w:tc>
        <w:tc>
          <w:tcPr>
            <w:tcW w:w="739" w:type="dxa"/>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w:t>
            </w:r>
          </w:p>
        </w:tc>
        <w:tc>
          <w:tcPr>
            <w:tcW w:w="80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4.3</w:t>
            </w:r>
          </w:p>
        </w:tc>
        <w:tc>
          <w:tcPr>
            <w:tcW w:w="75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100</w:t>
            </w:r>
          </w:p>
        </w:tc>
        <w:tc>
          <w:tcPr>
            <w:tcW w:w="80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8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7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2" w:hRule="atLeast"/>
        </w:trPr>
        <w:tc>
          <w:tcPr>
            <w:tcW w:w="1207" w:type="dxa"/>
            <w:vMerge w:val="continue"/>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p>
        </w:tc>
        <w:tc>
          <w:tcPr>
            <w:tcW w:w="1592" w:type="dxa"/>
            <w:tcBorders>
              <w:left w:val="single" w:color="auto" w:sz="4" w:space="0"/>
            </w:tcBorders>
            <w:vAlign w:val="center"/>
          </w:tcPr>
          <w:p>
            <w:pPr>
              <w:autoSpaceDE w:val="0"/>
              <w:autoSpaceDN w:val="0"/>
              <w:adjustRightInd w:val="0"/>
              <w:spacing w:line="264" w:lineRule="auto"/>
              <w:ind w:firstLine="0" w:firstLineChars="0"/>
              <w:jc w:val="center"/>
              <w:rPr>
                <w:rFonts w:cs="Times New Roman"/>
                <w:sz w:val="21"/>
                <w:szCs w:val="21"/>
                <w:lang w:val="zh-CN"/>
              </w:rPr>
            </w:pPr>
            <w:r>
              <w:rPr>
                <w:rFonts w:cs="Times New Roman"/>
                <w:sz w:val="21"/>
                <w:szCs w:val="21"/>
              </w:rPr>
              <w:t>氨氮</w:t>
            </w:r>
          </w:p>
        </w:tc>
        <w:tc>
          <w:tcPr>
            <w:tcW w:w="86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5</w:t>
            </w:r>
          </w:p>
        </w:tc>
        <w:tc>
          <w:tcPr>
            <w:tcW w:w="739" w:type="dxa"/>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w:t>
            </w:r>
          </w:p>
        </w:tc>
        <w:tc>
          <w:tcPr>
            <w:tcW w:w="80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w:t>
            </w:r>
          </w:p>
        </w:tc>
        <w:tc>
          <w:tcPr>
            <w:tcW w:w="75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100</w:t>
            </w:r>
          </w:p>
        </w:tc>
        <w:tc>
          <w:tcPr>
            <w:tcW w:w="80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2.2</w:t>
            </w:r>
          </w:p>
        </w:tc>
        <w:tc>
          <w:tcPr>
            <w:tcW w:w="78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7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2" w:hRule="atLeast"/>
        </w:trPr>
        <w:tc>
          <w:tcPr>
            <w:tcW w:w="1207" w:type="dxa"/>
            <w:vMerge w:val="continue"/>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p>
        </w:tc>
        <w:tc>
          <w:tcPr>
            <w:tcW w:w="1592" w:type="dxa"/>
            <w:tcBorders>
              <w:left w:val="single" w:color="auto" w:sz="4" w:space="0"/>
            </w:tcBorders>
            <w:vAlign w:val="center"/>
          </w:tcPr>
          <w:p>
            <w:pPr>
              <w:autoSpaceDE w:val="0"/>
              <w:autoSpaceDN w:val="0"/>
              <w:adjustRightInd w:val="0"/>
              <w:spacing w:line="264" w:lineRule="auto"/>
              <w:ind w:firstLine="0" w:firstLineChars="0"/>
              <w:jc w:val="center"/>
              <w:rPr>
                <w:rFonts w:cs="Times New Roman"/>
                <w:sz w:val="21"/>
                <w:szCs w:val="21"/>
              </w:rPr>
            </w:pPr>
            <w:r>
              <w:rPr>
                <w:rFonts w:cs="Times New Roman"/>
                <w:sz w:val="21"/>
                <w:szCs w:val="21"/>
              </w:rPr>
              <w:t>石油类</w:t>
            </w:r>
          </w:p>
        </w:tc>
        <w:tc>
          <w:tcPr>
            <w:tcW w:w="86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6</w:t>
            </w:r>
          </w:p>
        </w:tc>
        <w:tc>
          <w:tcPr>
            <w:tcW w:w="739" w:type="dxa"/>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w:t>
            </w:r>
          </w:p>
        </w:tc>
        <w:tc>
          <w:tcPr>
            <w:tcW w:w="80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21.1</w:t>
            </w:r>
          </w:p>
        </w:tc>
        <w:tc>
          <w:tcPr>
            <w:tcW w:w="75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100</w:t>
            </w:r>
          </w:p>
        </w:tc>
        <w:tc>
          <w:tcPr>
            <w:tcW w:w="80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8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7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2" w:hRule="atLeast"/>
        </w:trPr>
        <w:tc>
          <w:tcPr>
            <w:tcW w:w="1207" w:type="dxa"/>
            <w:vMerge w:val="continue"/>
            <w:tcBorders>
              <w:right w:val="single" w:color="auto" w:sz="4" w:space="0"/>
            </w:tcBorders>
            <w:vAlign w:val="center"/>
          </w:tcPr>
          <w:p>
            <w:pPr>
              <w:autoSpaceDE w:val="0"/>
              <w:autoSpaceDN w:val="0"/>
              <w:adjustRightInd w:val="0"/>
              <w:spacing w:before="31" w:beforeLines="10" w:after="31" w:afterLines="10" w:line="288" w:lineRule="auto"/>
              <w:ind w:firstLine="0" w:firstLineChars="0"/>
              <w:jc w:val="center"/>
              <w:rPr>
                <w:rFonts w:cs="Times New Roman"/>
                <w:sz w:val="21"/>
                <w:szCs w:val="21"/>
              </w:rPr>
            </w:pPr>
          </w:p>
        </w:tc>
        <w:tc>
          <w:tcPr>
            <w:tcW w:w="1592" w:type="dxa"/>
            <w:tcBorders>
              <w:left w:val="single" w:color="auto" w:sz="4" w:space="0"/>
            </w:tcBorders>
            <w:vAlign w:val="center"/>
          </w:tcPr>
          <w:p>
            <w:pPr>
              <w:autoSpaceDE w:val="0"/>
              <w:autoSpaceDN w:val="0"/>
              <w:adjustRightInd w:val="0"/>
              <w:spacing w:line="264" w:lineRule="auto"/>
              <w:ind w:firstLine="0" w:firstLineChars="0"/>
              <w:jc w:val="center"/>
              <w:rPr>
                <w:rFonts w:cs="Times New Roman"/>
                <w:sz w:val="21"/>
                <w:szCs w:val="21"/>
                <w:lang w:val="zh-CN"/>
              </w:rPr>
            </w:pPr>
            <w:r>
              <w:rPr>
                <w:rFonts w:cs="Times New Roman"/>
                <w:sz w:val="21"/>
                <w:szCs w:val="21"/>
              </w:rPr>
              <w:t>LAS</w:t>
            </w:r>
          </w:p>
        </w:tc>
        <w:tc>
          <w:tcPr>
            <w:tcW w:w="86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6</w:t>
            </w:r>
          </w:p>
        </w:tc>
        <w:tc>
          <w:tcPr>
            <w:tcW w:w="739" w:type="dxa"/>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w:t>
            </w:r>
          </w:p>
        </w:tc>
        <w:tc>
          <w:tcPr>
            <w:tcW w:w="80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2.8</w:t>
            </w:r>
          </w:p>
        </w:tc>
        <w:tc>
          <w:tcPr>
            <w:tcW w:w="75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100</w:t>
            </w:r>
          </w:p>
        </w:tc>
        <w:tc>
          <w:tcPr>
            <w:tcW w:w="800"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82"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c>
          <w:tcPr>
            <w:tcW w:w="777" w:type="dxa"/>
            <w:vAlign w:val="center"/>
          </w:tcPr>
          <w:p>
            <w:pPr>
              <w:autoSpaceDE w:val="0"/>
              <w:autoSpaceDN w:val="0"/>
              <w:adjustRightInd w:val="0"/>
              <w:spacing w:line="288" w:lineRule="auto"/>
              <w:ind w:firstLine="0" w:firstLineChars="0"/>
              <w:jc w:val="center"/>
              <w:rPr>
                <w:rFonts w:cs="Times New Roman"/>
                <w:sz w:val="21"/>
                <w:szCs w:val="21"/>
              </w:rPr>
            </w:pPr>
            <w:r>
              <w:rPr>
                <w:rFonts w:cs="Times New Roman"/>
                <w:sz w:val="21"/>
                <w:szCs w:val="21"/>
              </w:rPr>
              <w:t>--</w:t>
            </w:r>
          </w:p>
        </w:tc>
      </w:tr>
    </w:tbl>
    <w:p>
      <w:pPr>
        <w:pStyle w:val="3"/>
        <w:numPr>
          <w:ilvl w:val="0"/>
          <w:numId w:val="0"/>
        </w:numPr>
        <w:rPr>
          <w:color w:val="auto"/>
        </w:rPr>
      </w:pPr>
      <w:bookmarkStart w:id="81" w:name="_Toc12153"/>
      <w:r>
        <w:rPr>
          <w:rFonts w:hint="eastAsia"/>
          <w:color w:val="auto"/>
        </w:rPr>
        <w:t>8</w:t>
      </w:r>
      <w:r>
        <w:rPr>
          <w:color w:val="auto"/>
        </w:rPr>
        <w:t>.</w:t>
      </w:r>
      <w:r>
        <w:rPr>
          <w:rFonts w:hint="eastAsia"/>
          <w:color w:val="auto"/>
        </w:rPr>
        <w:t>4油气回收装置</w:t>
      </w:r>
      <w:bookmarkEnd w:id="81"/>
    </w:p>
    <w:p>
      <w:pPr>
        <w:pStyle w:val="4"/>
        <w:numPr>
          <w:ilvl w:val="0"/>
          <w:numId w:val="0"/>
        </w:numPr>
        <w:rPr>
          <w:color w:val="auto"/>
        </w:rPr>
      </w:pPr>
      <w:bookmarkStart w:id="82" w:name="_Toc2712"/>
      <w:r>
        <w:rPr>
          <w:rFonts w:hint="eastAsia"/>
          <w:color w:val="auto"/>
        </w:rPr>
        <w:t>8.4.1人员</w:t>
      </w:r>
      <w:bookmarkEnd w:id="82"/>
    </w:p>
    <w:p>
      <w:pPr>
        <w:ind w:firstLine="480"/>
        <w:rPr>
          <w:rFonts w:cs="Times New Roman"/>
          <w:color w:val="auto"/>
        </w:rPr>
      </w:pPr>
      <w:r>
        <w:rPr>
          <w:rFonts w:cs="Times New Roman"/>
          <w:color w:val="auto"/>
        </w:rPr>
        <w:t>参与本次验收检测的相关人员信息详见表8.</w:t>
      </w:r>
      <w:r>
        <w:rPr>
          <w:rFonts w:hint="eastAsia" w:cs="Times New Roman"/>
          <w:color w:val="auto"/>
        </w:rPr>
        <w:t>4</w:t>
      </w:r>
      <w:r>
        <w:rPr>
          <w:rFonts w:cs="Times New Roman"/>
          <w:color w:val="auto"/>
        </w:rPr>
        <w:t>-1。</w:t>
      </w:r>
    </w:p>
    <w:p>
      <w:pPr>
        <w:ind w:firstLine="422"/>
        <w:jc w:val="center"/>
        <w:rPr>
          <w:rFonts w:cs="Times New Roman"/>
          <w:b/>
          <w:color w:val="auto"/>
          <w:sz w:val="21"/>
          <w:szCs w:val="21"/>
        </w:rPr>
      </w:pPr>
      <w:r>
        <w:rPr>
          <w:rFonts w:cs="Times New Roman"/>
          <w:b/>
          <w:color w:val="auto"/>
          <w:sz w:val="21"/>
          <w:szCs w:val="21"/>
        </w:rPr>
        <w:t>表8</w:t>
      </w:r>
      <w:r>
        <w:rPr>
          <w:rFonts w:hint="eastAsia" w:cs="Times New Roman"/>
          <w:b/>
          <w:color w:val="auto"/>
          <w:sz w:val="21"/>
          <w:szCs w:val="21"/>
        </w:rPr>
        <w:t>.4-1</w:t>
      </w:r>
      <w:r>
        <w:rPr>
          <w:rFonts w:cs="Times New Roman"/>
          <w:b/>
          <w:color w:val="auto"/>
          <w:sz w:val="21"/>
          <w:szCs w:val="21"/>
        </w:rPr>
        <w:t xml:space="preserve"> 参与验收检测的相关人员一览表</w:t>
      </w:r>
    </w:p>
    <w:tbl>
      <w:tblPr>
        <w:tblStyle w:val="22"/>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6"/>
        <w:gridCol w:w="1164"/>
        <w:gridCol w:w="2476"/>
        <w:gridCol w:w="1456"/>
        <w:gridCol w:w="2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90" w:hRule="atLeast"/>
          <w:jc w:val="center"/>
        </w:trPr>
        <w:tc>
          <w:tcPr>
            <w:tcW w:w="1306"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油气回收</w:t>
            </w:r>
          </w:p>
        </w:tc>
        <w:tc>
          <w:tcPr>
            <w:tcW w:w="1164"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采样及检测日期</w:t>
            </w:r>
          </w:p>
        </w:tc>
        <w:tc>
          <w:tcPr>
            <w:tcW w:w="2476"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2024年10月22日</w:t>
            </w:r>
          </w:p>
        </w:tc>
        <w:tc>
          <w:tcPr>
            <w:tcW w:w="1456"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采样及检测人员</w:t>
            </w:r>
          </w:p>
        </w:tc>
        <w:tc>
          <w:tcPr>
            <w:tcW w:w="2120"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王志明、莫礼裕、梁競文、张大雨</w:t>
            </w:r>
          </w:p>
        </w:tc>
      </w:tr>
    </w:tbl>
    <w:p>
      <w:pPr>
        <w:pStyle w:val="4"/>
        <w:numPr>
          <w:ilvl w:val="0"/>
          <w:numId w:val="0"/>
        </w:numPr>
        <w:rPr>
          <w:color w:val="auto"/>
        </w:rPr>
      </w:pPr>
      <w:bookmarkStart w:id="83" w:name="_Toc25367"/>
      <w:r>
        <w:rPr>
          <w:rFonts w:hint="eastAsia"/>
          <w:color w:val="auto"/>
        </w:rPr>
        <w:t>8.4.2仪器</w:t>
      </w:r>
      <w:bookmarkEnd w:id="83"/>
    </w:p>
    <w:p>
      <w:pPr>
        <w:ind w:firstLine="480"/>
        <w:rPr>
          <w:color w:val="auto"/>
        </w:rPr>
      </w:pPr>
      <w:r>
        <w:rPr>
          <w:rFonts w:hint="eastAsia"/>
          <w:color w:val="auto"/>
        </w:rPr>
        <w:t>检测设备均按标准要求进行校准。</w:t>
      </w:r>
    </w:p>
    <w:p>
      <w:pPr>
        <w:ind w:firstLine="422"/>
        <w:jc w:val="center"/>
        <w:rPr>
          <w:rFonts w:cs="Times New Roman"/>
          <w:b/>
          <w:color w:val="auto"/>
          <w:sz w:val="21"/>
          <w:szCs w:val="21"/>
        </w:rPr>
      </w:pPr>
      <w:r>
        <w:rPr>
          <w:rFonts w:cs="Times New Roman"/>
          <w:b/>
          <w:color w:val="auto"/>
          <w:sz w:val="21"/>
          <w:szCs w:val="21"/>
        </w:rPr>
        <w:t>表8</w:t>
      </w:r>
      <w:r>
        <w:rPr>
          <w:rFonts w:hint="eastAsia" w:cs="Times New Roman"/>
          <w:b/>
          <w:color w:val="auto"/>
          <w:sz w:val="21"/>
          <w:szCs w:val="21"/>
        </w:rPr>
        <w:t>.4-2</w:t>
      </w:r>
      <w:r>
        <w:rPr>
          <w:rFonts w:cs="Times New Roman"/>
          <w:b/>
          <w:color w:val="auto"/>
          <w:sz w:val="21"/>
          <w:szCs w:val="21"/>
        </w:rPr>
        <w:t xml:space="preserve"> 参与验收检测的相关人员一览表</w:t>
      </w:r>
    </w:p>
    <w:tbl>
      <w:tblPr>
        <w:tblStyle w:val="22"/>
        <w:tblW w:w="83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74"/>
        <w:gridCol w:w="1475"/>
        <w:gridCol w:w="3523"/>
        <w:gridCol w:w="1259"/>
        <w:gridCol w:w="15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37" w:hRule="atLeast"/>
          <w:jc w:val="center"/>
        </w:trPr>
        <w:tc>
          <w:tcPr>
            <w:tcW w:w="474"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类别</w:t>
            </w:r>
          </w:p>
        </w:tc>
        <w:tc>
          <w:tcPr>
            <w:tcW w:w="1475"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项目</w:t>
            </w:r>
          </w:p>
        </w:tc>
        <w:tc>
          <w:tcPr>
            <w:tcW w:w="3523"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检测方法</w:t>
            </w:r>
          </w:p>
        </w:tc>
        <w:tc>
          <w:tcPr>
            <w:tcW w:w="1259"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检出限</w:t>
            </w:r>
          </w:p>
        </w:tc>
        <w:tc>
          <w:tcPr>
            <w:tcW w:w="1585"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主要仪器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37" w:hRule="atLeast"/>
          <w:jc w:val="center"/>
        </w:trPr>
        <w:tc>
          <w:tcPr>
            <w:tcW w:w="474"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油气回收</w:t>
            </w:r>
          </w:p>
        </w:tc>
        <w:tc>
          <w:tcPr>
            <w:tcW w:w="147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密闭性</w:t>
            </w:r>
          </w:p>
        </w:tc>
        <w:tc>
          <w:tcPr>
            <w:tcW w:w="3523"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《加油站大气污染物排放标准》</w:t>
            </w:r>
          </w:p>
          <w:p>
            <w:pPr>
              <w:spacing w:line="240" w:lineRule="auto"/>
              <w:ind w:firstLine="0" w:firstLineChars="0"/>
              <w:jc w:val="center"/>
              <w:rPr>
                <w:rFonts w:cs="Times New Roman"/>
                <w:bCs/>
                <w:color w:val="auto"/>
                <w:sz w:val="21"/>
                <w:szCs w:val="21"/>
              </w:rPr>
            </w:pPr>
            <w:r>
              <w:rPr>
                <w:rFonts w:cs="Times New Roman"/>
                <w:color w:val="auto"/>
                <w:sz w:val="21"/>
                <w:szCs w:val="21"/>
              </w:rPr>
              <w:t xml:space="preserve">GB 20952-2020 附录B 密闭性检测方法    </w:t>
            </w:r>
          </w:p>
        </w:tc>
        <w:tc>
          <w:tcPr>
            <w:tcW w:w="1259"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sz w:val="21"/>
                <w:szCs w:val="21"/>
              </w:rPr>
              <w:t>—</w:t>
            </w:r>
          </w:p>
        </w:tc>
        <w:tc>
          <w:tcPr>
            <w:tcW w:w="1585"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油气回收参数检测仪</w:t>
            </w:r>
          </w:p>
          <w:p>
            <w:pPr>
              <w:spacing w:line="240" w:lineRule="auto"/>
              <w:ind w:firstLine="0" w:firstLineChars="0"/>
              <w:jc w:val="center"/>
              <w:rPr>
                <w:rFonts w:cs="Times New Roman"/>
                <w:color w:val="auto"/>
                <w:kern w:val="0"/>
                <w:sz w:val="21"/>
                <w:szCs w:val="21"/>
                <w:lang w:bidi="ar"/>
              </w:rPr>
            </w:pPr>
            <w:r>
              <w:rPr>
                <w:rFonts w:cs="Times New Roman"/>
                <w:color w:val="auto"/>
                <w:sz w:val="21"/>
                <w:szCs w:val="21"/>
              </w:rPr>
              <w:t>MH3510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37" w:hRule="atLeast"/>
          <w:jc w:val="center"/>
        </w:trPr>
        <w:tc>
          <w:tcPr>
            <w:tcW w:w="474" w:type="dxa"/>
            <w:vMerge w:val="continue"/>
            <w:vAlign w:val="center"/>
          </w:tcPr>
          <w:p>
            <w:pPr>
              <w:spacing w:line="240" w:lineRule="auto"/>
              <w:ind w:firstLine="0" w:firstLineChars="0"/>
              <w:jc w:val="center"/>
              <w:rPr>
                <w:rFonts w:cs="Times New Roman"/>
                <w:color w:val="auto"/>
                <w:sz w:val="21"/>
                <w:szCs w:val="21"/>
              </w:rPr>
            </w:pPr>
          </w:p>
        </w:tc>
        <w:tc>
          <w:tcPr>
            <w:tcW w:w="147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液阻</w:t>
            </w:r>
          </w:p>
        </w:tc>
        <w:tc>
          <w:tcPr>
            <w:tcW w:w="3523"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《加油站大气污染物排放标准》</w:t>
            </w:r>
          </w:p>
          <w:p>
            <w:pPr>
              <w:spacing w:line="240" w:lineRule="auto"/>
              <w:ind w:firstLine="0" w:firstLineChars="0"/>
              <w:jc w:val="center"/>
              <w:rPr>
                <w:rFonts w:cs="Times New Roman"/>
                <w:color w:val="auto"/>
                <w:kern w:val="0"/>
                <w:sz w:val="21"/>
                <w:szCs w:val="21"/>
                <w:lang w:bidi="ar"/>
              </w:rPr>
            </w:pPr>
            <w:r>
              <w:rPr>
                <w:rFonts w:cs="Times New Roman"/>
                <w:color w:val="auto"/>
                <w:sz w:val="21"/>
                <w:szCs w:val="21"/>
              </w:rPr>
              <w:t xml:space="preserve">GB 20952-2020 附录A 液阻检测方法 </w:t>
            </w:r>
          </w:p>
        </w:tc>
        <w:tc>
          <w:tcPr>
            <w:tcW w:w="1259"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sz w:val="21"/>
                <w:szCs w:val="21"/>
              </w:rPr>
              <w:t>—</w:t>
            </w:r>
          </w:p>
        </w:tc>
        <w:tc>
          <w:tcPr>
            <w:tcW w:w="1585"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油气回收参数检测仪</w:t>
            </w:r>
          </w:p>
          <w:p>
            <w:pPr>
              <w:spacing w:line="240" w:lineRule="auto"/>
              <w:ind w:firstLine="0" w:firstLineChars="0"/>
              <w:jc w:val="center"/>
              <w:rPr>
                <w:rFonts w:cs="Times New Roman"/>
                <w:color w:val="auto"/>
                <w:kern w:val="0"/>
                <w:sz w:val="21"/>
                <w:szCs w:val="21"/>
                <w:lang w:bidi="ar"/>
              </w:rPr>
            </w:pPr>
            <w:r>
              <w:rPr>
                <w:rFonts w:cs="Times New Roman"/>
                <w:color w:val="auto"/>
                <w:sz w:val="21"/>
                <w:szCs w:val="21"/>
              </w:rPr>
              <w:t>MH3510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37" w:hRule="atLeast"/>
          <w:jc w:val="center"/>
        </w:trPr>
        <w:tc>
          <w:tcPr>
            <w:tcW w:w="474" w:type="dxa"/>
            <w:vMerge w:val="continue"/>
            <w:vAlign w:val="center"/>
          </w:tcPr>
          <w:p>
            <w:pPr>
              <w:spacing w:line="240" w:lineRule="auto"/>
              <w:ind w:firstLine="0" w:firstLineChars="0"/>
              <w:jc w:val="center"/>
              <w:rPr>
                <w:rFonts w:cs="Times New Roman"/>
                <w:color w:val="auto"/>
                <w:sz w:val="21"/>
                <w:szCs w:val="21"/>
              </w:rPr>
            </w:pPr>
          </w:p>
        </w:tc>
        <w:tc>
          <w:tcPr>
            <w:tcW w:w="147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气液比</w:t>
            </w:r>
          </w:p>
        </w:tc>
        <w:tc>
          <w:tcPr>
            <w:tcW w:w="3523"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《加油站大气污染物排放标准》</w:t>
            </w:r>
          </w:p>
          <w:p>
            <w:pPr>
              <w:spacing w:line="240" w:lineRule="auto"/>
              <w:ind w:firstLine="0" w:firstLineChars="0"/>
              <w:jc w:val="center"/>
              <w:rPr>
                <w:rFonts w:cs="Times New Roman"/>
                <w:color w:val="auto"/>
                <w:kern w:val="0"/>
                <w:sz w:val="21"/>
                <w:szCs w:val="21"/>
                <w:lang w:bidi="ar"/>
              </w:rPr>
            </w:pPr>
            <w:r>
              <w:rPr>
                <w:rFonts w:cs="Times New Roman"/>
                <w:color w:val="auto"/>
                <w:sz w:val="21"/>
                <w:szCs w:val="21"/>
              </w:rPr>
              <w:t>GB 20952-2020 附录C 气液比检测方法</w:t>
            </w:r>
          </w:p>
        </w:tc>
        <w:tc>
          <w:tcPr>
            <w:tcW w:w="1259" w:type="dxa"/>
            <w:vAlign w:val="center"/>
          </w:tcPr>
          <w:p>
            <w:pPr>
              <w:spacing w:line="240" w:lineRule="auto"/>
              <w:ind w:firstLine="0" w:firstLineChars="0"/>
              <w:jc w:val="center"/>
              <w:rPr>
                <w:rFonts w:cs="Times New Roman"/>
                <w:color w:val="auto"/>
                <w:kern w:val="0"/>
                <w:sz w:val="21"/>
                <w:szCs w:val="21"/>
                <w:lang w:bidi="ar"/>
              </w:rPr>
            </w:pPr>
            <w:r>
              <w:rPr>
                <w:rFonts w:cs="Times New Roman"/>
                <w:color w:val="auto"/>
                <w:sz w:val="21"/>
                <w:szCs w:val="21"/>
              </w:rPr>
              <w:t>—</w:t>
            </w:r>
          </w:p>
        </w:tc>
        <w:tc>
          <w:tcPr>
            <w:tcW w:w="1585"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油气回收参数检测仪</w:t>
            </w:r>
          </w:p>
          <w:p>
            <w:pPr>
              <w:spacing w:line="240" w:lineRule="auto"/>
              <w:ind w:firstLine="0" w:firstLineChars="0"/>
              <w:jc w:val="center"/>
              <w:rPr>
                <w:rFonts w:cs="Times New Roman"/>
                <w:color w:val="auto"/>
                <w:kern w:val="0"/>
                <w:sz w:val="21"/>
                <w:szCs w:val="21"/>
                <w:lang w:bidi="ar"/>
              </w:rPr>
            </w:pPr>
            <w:r>
              <w:rPr>
                <w:rFonts w:cs="Times New Roman"/>
                <w:color w:val="auto"/>
                <w:sz w:val="21"/>
                <w:szCs w:val="21"/>
              </w:rPr>
              <w:t>MH3510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37" w:hRule="atLeast"/>
          <w:jc w:val="center"/>
        </w:trPr>
        <w:tc>
          <w:tcPr>
            <w:tcW w:w="474" w:type="dxa"/>
            <w:vMerge w:val="continue"/>
            <w:vAlign w:val="center"/>
          </w:tcPr>
          <w:p>
            <w:pPr>
              <w:spacing w:line="240" w:lineRule="auto"/>
              <w:ind w:firstLine="0" w:firstLineChars="0"/>
              <w:jc w:val="center"/>
              <w:rPr>
                <w:rFonts w:cs="Times New Roman"/>
                <w:color w:val="auto"/>
                <w:sz w:val="21"/>
                <w:szCs w:val="21"/>
              </w:rPr>
            </w:pPr>
          </w:p>
        </w:tc>
        <w:tc>
          <w:tcPr>
            <w:tcW w:w="1475" w:type="dxa"/>
            <w:vAlign w:val="center"/>
          </w:tcPr>
          <w:p>
            <w:pPr>
              <w:widowControl/>
              <w:spacing w:line="240" w:lineRule="auto"/>
              <w:ind w:firstLine="0" w:firstLineChars="0"/>
              <w:jc w:val="center"/>
              <w:textAlignment w:val="center"/>
              <w:rPr>
                <w:rFonts w:cs="Times New Roman"/>
                <w:color w:val="auto"/>
                <w:sz w:val="21"/>
                <w:szCs w:val="21"/>
              </w:rPr>
            </w:pPr>
            <w:r>
              <w:rPr>
                <w:rFonts w:hint="eastAsia" w:cs="Times New Roman"/>
                <w:color w:val="auto"/>
                <w:sz w:val="21"/>
                <w:szCs w:val="21"/>
              </w:rPr>
              <w:t>油气排放浓度</w:t>
            </w:r>
          </w:p>
        </w:tc>
        <w:tc>
          <w:tcPr>
            <w:tcW w:w="3523"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《加油站大气污染物排放标准》</w:t>
            </w:r>
          </w:p>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 xml:space="preserve">GB 20952-2020 附录D 油气处理装置检测方法 </w:t>
            </w:r>
          </w:p>
        </w:tc>
        <w:tc>
          <w:tcPr>
            <w:tcW w:w="125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lang w:bidi="ar"/>
              </w:rPr>
              <w:t>0.07mg/m</w:t>
            </w:r>
            <w:r>
              <w:rPr>
                <w:rFonts w:cs="Times New Roman"/>
                <w:color w:val="auto"/>
                <w:kern w:val="0"/>
                <w:sz w:val="21"/>
                <w:szCs w:val="21"/>
                <w:vertAlign w:val="superscript"/>
                <w:lang w:bidi="ar"/>
              </w:rPr>
              <w:t>3</w:t>
            </w:r>
          </w:p>
        </w:tc>
        <w:tc>
          <w:tcPr>
            <w:tcW w:w="158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lang w:bidi="ar"/>
              </w:rPr>
              <w:t xml:space="preserve">气相色谱仪              GC2020 </w:t>
            </w:r>
          </w:p>
        </w:tc>
      </w:tr>
    </w:tbl>
    <w:p>
      <w:pPr>
        <w:pStyle w:val="2"/>
        <w:rPr>
          <w:color w:val="auto"/>
        </w:rPr>
        <w:sectPr>
          <w:pgSz w:w="11906" w:h="16838"/>
          <w:pgMar w:top="1440" w:right="1800" w:bottom="1440" w:left="1800" w:header="851" w:footer="992" w:gutter="0"/>
          <w:cols w:space="425" w:num="1"/>
          <w:docGrid w:type="lines" w:linePitch="312" w:charSpace="0"/>
        </w:sectPr>
      </w:pPr>
    </w:p>
    <w:p>
      <w:pPr>
        <w:pStyle w:val="2"/>
      </w:pPr>
      <w:bookmarkStart w:id="84" w:name="_Toc29810"/>
      <w:r>
        <w:rPr>
          <w:rFonts w:hint="eastAsia"/>
        </w:rPr>
        <w:t>验收监测结果</w:t>
      </w:r>
      <w:bookmarkEnd w:id="84"/>
    </w:p>
    <w:p>
      <w:pPr>
        <w:pStyle w:val="3"/>
      </w:pPr>
      <w:bookmarkStart w:id="85" w:name="_Toc31134"/>
      <w:r>
        <w:rPr>
          <w:rFonts w:hint="eastAsia"/>
        </w:rPr>
        <w:t>生产工况</w:t>
      </w:r>
      <w:bookmarkEnd w:id="85"/>
    </w:p>
    <w:p>
      <w:pPr>
        <w:ind w:firstLine="480"/>
      </w:pPr>
      <w:r>
        <w:rPr>
          <w:rFonts w:hint="eastAsia"/>
        </w:rPr>
        <w:t>本项目属于汽柴油零售业项目，在验收监测期间正常营业，生产负荷达到80%~85%。</w:t>
      </w:r>
    </w:p>
    <w:p>
      <w:pPr>
        <w:pStyle w:val="3"/>
      </w:pPr>
      <w:bookmarkStart w:id="86" w:name="_Toc13936"/>
      <w:r>
        <w:rPr>
          <w:rFonts w:hint="eastAsia"/>
        </w:rPr>
        <w:t>环保设施调试运行效果</w:t>
      </w:r>
      <w:bookmarkEnd w:id="86"/>
      <w:r>
        <w:rPr>
          <w:rFonts w:hint="eastAsia"/>
        </w:rPr>
        <w:t xml:space="preserve"> </w:t>
      </w:r>
    </w:p>
    <w:p>
      <w:pPr>
        <w:pStyle w:val="4"/>
      </w:pPr>
      <w:bookmarkStart w:id="87" w:name="_Toc156491677"/>
      <w:bookmarkStart w:id="88" w:name="_Toc24745"/>
      <w:bookmarkStart w:id="89" w:name="_Toc164292300"/>
      <w:r>
        <w:rPr>
          <w:rFonts w:hint="eastAsia"/>
        </w:rPr>
        <w:t>废水</w:t>
      </w:r>
      <w:bookmarkEnd w:id="87"/>
      <w:bookmarkEnd w:id="88"/>
      <w:bookmarkEnd w:id="89"/>
    </w:p>
    <w:p>
      <w:pPr>
        <w:pStyle w:val="35"/>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9.2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 xml:space="preserve"> </w:t>
      </w:r>
      <w:r>
        <w:rPr>
          <w:rFonts w:hint="eastAsia"/>
        </w:rPr>
        <w:t>废水检测结果</w:t>
      </w:r>
    </w:p>
    <w:tbl>
      <w:tblPr>
        <w:tblStyle w:val="22"/>
        <w:tblpPr w:leftFromText="180" w:rightFromText="180" w:vertAnchor="text" w:horzAnchor="page" w:tblpXSpec="center" w:tblpY="267"/>
        <w:tblOverlap w:val="never"/>
        <w:tblW w:w="831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27"/>
        <w:gridCol w:w="1115"/>
        <w:gridCol w:w="1503"/>
        <w:gridCol w:w="812"/>
        <w:gridCol w:w="812"/>
        <w:gridCol w:w="812"/>
        <w:gridCol w:w="812"/>
        <w:gridCol w:w="614"/>
        <w:gridCol w:w="70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450" w:hRule="atLeast"/>
        </w:trPr>
        <w:tc>
          <w:tcPr>
            <w:tcW w:w="1127" w:type="dxa"/>
            <w:vMerge w:val="restart"/>
            <w:tcBorders>
              <w:top w:val="single" w:color="auto" w:sz="4" w:space="0"/>
              <w:right w:val="single" w:color="auto" w:sz="4" w:space="0"/>
            </w:tcBorders>
            <w:vAlign w:val="center"/>
          </w:tcPr>
          <w:p>
            <w:pPr>
              <w:spacing w:before="92" w:line="240" w:lineRule="auto"/>
              <w:ind w:right="65" w:firstLine="0" w:firstLineChars="0"/>
              <w:jc w:val="center"/>
              <w:rPr>
                <w:rFonts w:cs="Times New Roman"/>
                <w:b/>
                <w:bCs/>
                <w:sz w:val="21"/>
                <w:szCs w:val="21"/>
                <w:lang w:val="zh-CN" w:bidi="zh-CN"/>
              </w:rPr>
            </w:pPr>
            <w:r>
              <w:rPr>
                <w:rFonts w:cs="Times New Roman"/>
                <w:b/>
                <w:bCs/>
                <w:sz w:val="21"/>
                <w:szCs w:val="21"/>
                <w:lang w:val="zh-CN" w:bidi="zh-CN"/>
              </w:rPr>
              <w:t>检测日期</w:t>
            </w:r>
          </w:p>
        </w:tc>
        <w:tc>
          <w:tcPr>
            <w:tcW w:w="1115" w:type="dxa"/>
            <w:vMerge w:val="restart"/>
            <w:tcBorders>
              <w:top w:val="single" w:color="auto" w:sz="4" w:space="0"/>
              <w:left w:val="single" w:color="auto" w:sz="4" w:space="0"/>
              <w:right w:val="single" w:color="auto" w:sz="4" w:space="0"/>
            </w:tcBorders>
            <w:vAlign w:val="center"/>
          </w:tcPr>
          <w:p>
            <w:pPr>
              <w:spacing w:before="92" w:line="240" w:lineRule="auto"/>
              <w:ind w:left="17" w:right="5" w:firstLine="0" w:firstLineChars="0"/>
              <w:jc w:val="center"/>
              <w:rPr>
                <w:rFonts w:cs="Times New Roman"/>
                <w:b/>
                <w:bCs/>
                <w:sz w:val="21"/>
                <w:szCs w:val="21"/>
                <w:lang w:val="zh-CN" w:bidi="zh-CN"/>
              </w:rPr>
            </w:pPr>
            <w:r>
              <w:rPr>
                <w:rFonts w:cs="Times New Roman"/>
                <w:b/>
                <w:bCs/>
                <w:sz w:val="21"/>
                <w:szCs w:val="21"/>
                <w:lang w:val="zh-CN" w:bidi="zh-CN"/>
              </w:rPr>
              <w:t>检测点位</w:t>
            </w:r>
          </w:p>
        </w:tc>
        <w:tc>
          <w:tcPr>
            <w:tcW w:w="1503" w:type="dxa"/>
            <w:vMerge w:val="restart"/>
            <w:tcBorders>
              <w:top w:val="single" w:color="auto" w:sz="4" w:space="0"/>
              <w:left w:val="single" w:color="auto" w:sz="4" w:space="0"/>
            </w:tcBorders>
            <w:vAlign w:val="center"/>
          </w:tcPr>
          <w:p>
            <w:pPr>
              <w:spacing w:before="92" w:line="240" w:lineRule="auto"/>
              <w:ind w:left="17" w:right="137" w:firstLine="0" w:firstLineChars="0"/>
              <w:jc w:val="center"/>
              <w:rPr>
                <w:rFonts w:cs="Times New Roman"/>
                <w:b/>
                <w:bCs/>
                <w:sz w:val="21"/>
                <w:szCs w:val="21"/>
                <w:lang w:val="zh-CN" w:bidi="zh-CN"/>
              </w:rPr>
            </w:pPr>
            <w:r>
              <w:rPr>
                <w:rFonts w:cs="Times New Roman"/>
                <w:b/>
                <w:bCs/>
                <w:sz w:val="21"/>
                <w:szCs w:val="21"/>
                <w:lang w:val="zh-CN" w:bidi="zh-CN"/>
              </w:rPr>
              <w:t>检测项目</w:t>
            </w:r>
          </w:p>
        </w:tc>
        <w:tc>
          <w:tcPr>
            <w:tcW w:w="3248" w:type="dxa"/>
            <w:gridSpan w:val="4"/>
            <w:tcBorders>
              <w:top w:val="single" w:color="auto" w:sz="4" w:space="0"/>
            </w:tcBorders>
            <w:vAlign w:val="center"/>
          </w:tcPr>
          <w:p>
            <w:pPr>
              <w:spacing w:line="240" w:lineRule="auto"/>
              <w:ind w:left="17" w:firstLine="0" w:firstLineChars="0"/>
              <w:jc w:val="center"/>
              <w:rPr>
                <w:rFonts w:cs="Times New Roman"/>
                <w:b/>
                <w:bCs/>
                <w:sz w:val="21"/>
                <w:szCs w:val="21"/>
                <w:lang w:bidi="zh-CN"/>
              </w:rPr>
            </w:pPr>
            <w:r>
              <w:rPr>
                <w:rFonts w:cs="Times New Roman"/>
                <w:b/>
                <w:bCs/>
                <w:sz w:val="21"/>
                <w:szCs w:val="21"/>
                <w:lang w:bidi="zh-CN"/>
              </w:rPr>
              <w:t>检测结果</w:t>
            </w:r>
          </w:p>
        </w:tc>
        <w:tc>
          <w:tcPr>
            <w:tcW w:w="614" w:type="dxa"/>
            <w:vMerge w:val="restart"/>
            <w:tcBorders>
              <w:top w:val="single" w:color="auto" w:sz="4" w:space="0"/>
              <w:right w:val="single" w:color="auto" w:sz="4" w:space="0"/>
            </w:tcBorders>
            <w:vAlign w:val="center"/>
          </w:tcPr>
          <w:p>
            <w:pPr>
              <w:spacing w:line="240" w:lineRule="auto"/>
              <w:ind w:firstLine="0" w:firstLineChars="0"/>
              <w:jc w:val="center"/>
              <w:rPr>
                <w:rFonts w:cs="Times New Roman"/>
                <w:b/>
                <w:bCs/>
                <w:sz w:val="21"/>
                <w:szCs w:val="21"/>
                <w:lang w:bidi="zh-CN"/>
              </w:rPr>
            </w:pPr>
            <w:r>
              <w:rPr>
                <w:rFonts w:cs="Times New Roman"/>
                <w:b/>
                <w:bCs/>
                <w:sz w:val="21"/>
                <w:szCs w:val="21"/>
                <w:lang w:bidi="zh-CN"/>
              </w:rPr>
              <w:t>标准</w:t>
            </w:r>
          </w:p>
          <w:p>
            <w:pPr>
              <w:spacing w:line="240" w:lineRule="auto"/>
              <w:ind w:firstLine="0" w:firstLineChars="0"/>
              <w:jc w:val="center"/>
              <w:rPr>
                <w:rFonts w:cs="Times New Roman"/>
                <w:b/>
                <w:bCs/>
                <w:sz w:val="21"/>
                <w:szCs w:val="21"/>
                <w:lang w:bidi="zh-CN"/>
              </w:rPr>
            </w:pPr>
            <w:r>
              <w:rPr>
                <w:rFonts w:cs="Times New Roman"/>
                <w:b/>
                <w:bCs/>
                <w:sz w:val="21"/>
                <w:szCs w:val="21"/>
                <w:lang w:bidi="zh-CN"/>
              </w:rPr>
              <w:t>限值</w:t>
            </w:r>
          </w:p>
        </w:tc>
        <w:tc>
          <w:tcPr>
            <w:tcW w:w="709" w:type="dxa"/>
            <w:vMerge w:val="restart"/>
            <w:tcBorders>
              <w:top w:val="single" w:color="auto" w:sz="4" w:space="0"/>
              <w:left w:val="single" w:color="auto" w:sz="4" w:space="0"/>
            </w:tcBorders>
            <w:vAlign w:val="center"/>
          </w:tcPr>
          <w:p>
            <w:pPr>
              <w:spacing w:line="240" w:lineRule="auto"/>
              <w:ind w:firstLine="0" w:firstLineChars="0"/>
              <w:jc w:val="center"/>
              <w:rPr>
                <w:rFonts w:cs="Times New Roman"/>
                <w:b/>
                <w:bCs/>
                <w:sz w:val="21"/>
                <w:szCs w:val="21"/>
                <w:lang w:val="zh-CN" w:bidi="zh-CN"/>
              </w:rPr>
            </w:pPr>
            <w:r>
              <w:rPr>
                <w:rFonts w:cs="Times New Roman"/>
                <w:b/>
                <w:bCs/>
                <w:sz w:val="21"/>
                <w:szCs w:val="21"/>
                <w:lang w:val="zh-CN" w:bidi="zh-CN"/>
              </w:rPr>
              <w:t>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450" w:hRule="atLeast"/>
        </w:trPr>
        <w:tc>
          <w:tcPr>
            <w:tcW w:w="1127" w:type="dxa"/>
            <w:vMerge w:val="continue"/>
            <w:tcBorders>
              <w:right w:val="single" w:color="auto" w:sz="4" w:space="0"/>
            </w:tcBorders>
            <w:vAlign w:val="center"/>
          </w:tcPr>
          <w:p>
            <w:pPr>
              <w:spacing w:before="92" w:line="240" w:lineRule="auto"/>
              <w:ind w:right="65" w:firstLine="0" w:firstLineChars="0"/>
              <w:jc w:val="center"/>
              <w:rPr>
                <w:rFonts w:cs="Times New Roman"/>
                <w:b/>
                <w:bCs/>
                <w:sz w:val="21"/>
                <w:szCs w:val="21"/>
                <w:lang w:val="zh-CN" w:bidi="zh-CN"/>
              </w:rPr>
            </w:pPr>
          </w:p>
        </w:tc>
        <w:tc>
          <w:tcPr>
            <w:tcW w:w="1115" w:type="dxa"/>
            <w:vMerge w:val="continue"/>
            <w:tcBorders>
              <w:left w:val="single" w:color="auto" w:sz="4" w:space="0"/>
              <w:right w:val="single" w:color="auto" w:sz="4" w:space="0"/>
            </w:tcBorders>
            <w:vAlign w:val="center"/>
          </w:tcPr>
          <w:p>
            <w:pPr>
              <w:spacing w:before="92" w:line="240" w:lineRule="auto"/>
              <w:ind w:left="17" w:right="5" w:firstLine="0" w:firstLineChars="0"/>
              <w:jc w:val="center"/>
              <w:rPr>
                <w:rFonts w:cs="Times New Roman"/>
                <w:b/>
                <w:bCs/>
                <w:sz w:val="21"/>
                <w:szCs w:val="21"/>
                <w:lang w:val="zh-CN" w:bidi="zh-CN"/>
              </w:rPr>
            </w:pPr>
          </w:p>
        </w:tc>
        <w:tc>
          <w:tcPr>
            <w:tcW w:w="1503" w:type="dxa"/>
            <w:vMerge w:val="continue"/>
            <w:tcBorders>
              <w:left w:val="single" w:color="auto" w:sz="4" w:space="0"/>
            </w:tcBorders>
            <w:vAlign w:val="center"/>
          </w:tcPr>
          <w:p>
            <w:pPr>
              <w:spacing w:before="92" w:line="240" w:lineRule="auto"/>
              <w:ind w:left="17" w:right="137" w:firstLine="0" w:firstLineChars="0"/>
              <w:jc w:val="center"/>
              <w:rPr>
                <w:rFonts w:cs="Times New Roman"/>
                <w:b/>
                <w:bCs/>
                <w:sz w:val="21"/>
                <w:szCs w:val="21"/>
                <w:lang w:val="zh-CN" w:bidi="zh-CN"/>
              </w:rPr>
            </w:pPr>
          </w:p>
        </w:tc>
        <w:tc>
          <w:tcPr>
            <w:tcW w:w="812" w:type="dxa"/>
            <w:tcBorders>
              <w:top w:val="single" w:color="auto" w:sz="4" w:space="0"/>
            </w:tcBorders>
            <w:vAlign w:val="center"/>
          </w:tcPr>
          <w:p>
            <w:pPr>
              <w:spacing w:line="240" w:lineRule="auto"/>
              <w:ind w:firstLine="0" w:firstLineChars="0"/>
              <w:jc w:val="center"/>
              <w:rPr>
                <w:rFonts w:cs="Times New Roman"/>
                <w:b/>
                <w:bCs/>
                <w:sz w:val="21"/>
                <w:szCs w:val="21"/>
                <w:lang w:bidi="zh-CN"/>
              </w:rPr>
            </w:pPr>
            <w:r>
              <w:rPr>
                <w:rFonts w:cs="Times New Roman"/>
                <w:b/>
                <w:bCs/>
                <w:sz w:val="21"/>
                <w:szCs w:val="21"/>
                <w:lang w:bidi="zh-CN"/>
              </w:rPr>
              <w:t>第1次</w:t>
            </w:r>
          </w:p>
        </w:tc>
        <w:tc>
          <w:tcPr>
            <w:tcW w:w="812" w:type="dxa"/>
            <w:tcBorders>
              <w:top w:val="single" w:color="auto" w:sz="4" w:space="0"/>
            </w:tcBorders>
            <w:vAlign w:val="center"/>
          </w:tcPr>
          <w:p>
            <w:pPr>
              <w:spacing w:line="240" w:lineRule="auto"/>
              <w:ind w:firstLine="0" w:firstLineChars="0"/>
              <w:jc w:val="center"/>
              <w:rPr>
                <w:rFonts w:cs="Times New Roman"/>
                <w:b/>
                <w:bCs/>
                <w:sz w:val="21"/>
                <w:szCs w:val="21"/>
                <w:lang w:bidi="zh-CN"/>
              </w:rPr>
            </w:pPr>
            <w:r>
              <w:rPr>
                <w:rFonts w:cs="Times New Roman"/>
                <w:b/>
                <w:bCs/>
                <w:sz w:val="21"/>
                <w:szCs w:val="21"/>
                <w:lang w:bidi="zh-CN"/>
              </w:rPr>
              <w:t>第2次</w:t>
            </w:r>
          </w:p>
        </w:tc>
        <w:tc>
          <w:tcPr>
            <w:tcW w:w="812" w:type="dxa"/>
            <w:tcBorders>
              <w:top w:val="single" w:color="auto" w:sz="4" w:space="0"/>
            </w:tcBorders>
            <w:vAlign w:val="center"/>
          </w:tcPr>
          <w:p>
            <w:pPr>
              <w:spacing w:line="240" w:lineRule="auto"/>
              <w:ind w:firstLine="0" w:firstLineChars="0"/>
              <w:jc w:val="center"/>
              <w:rPr>
                <w:rFonts w:cs="Times New Roman"/>
                <w:b/>
                <w:bCs/>
                <w:sz w:val="21"/>
                <w:szCs w:val="21"/>
                <w:lang w:bidi="zh-CN"/>
              </w:rPr>
            </w:pPr>
            <w:r>
              <w:rPr>
                <w:rFonts w:cs="Times New Roman"/>
                <w:b/>
                <w:bCs/>
                <w:sz w:val="21"/>
                <w:szCs w:val="21"/>
                <w:lang w:bidi="zh-CN"/>
              </w:rPr>
              <w:t>第3次</w:t>
            </w:r>
          </w:p>
        </w:tc>
        <w:tc>
          <w:tcPr>
            <w:tcW w:w="812" w:type="dxa"/>
            <w:tcBorders>
              <w:top w:val="single" w:color="auto" w:sz="4" w:space="0"/>
            </w:tcBorders>
            <w:vAlign w:val="center"/>
          </w:tcPr>
          <w:p>
            <w:pPr>
              <w:spacing w:line="240" w:lineRule="auto"/>
              <w:ind w:firstLine="0" w:firstLineChars="0"/>
              <w:jc w:val="center"/>
              <w:rPr>
                <w:rFonts w:cs="Times New Roman"/>
                <w:b/>
                <w:bCs/>
                <w:sz w:val="21"/>
                <w:szCs w:val="21"/>
                <w:lang w:bidi="zh-CN"/>
              </w:rPr>
            </w:pPr>
            <w:r>
              <w:rPr>
                <w:rFonts w:cs="Times New Roman"/>
                <w:b/>
                <w:bCs/>
                <w:sz w:val="21"/>
                <w:szCs w:val="21"/>
                <w:lang w:bidi="zh-CN"/>
              </w:rPr>
              <w:t>第4次</w:t>
            </w:r>
          </w:p>
        </w:tc>
        <w:tc>
          <w:tcPr>
            <w:tcW w:w="614" w:type="dxa"/>
            <w:vMerge w:val="continue"/>
            <w:tcBorders>
              <w:right w:val="single" w:color="auto" w:sz="4" w:space="0"/>
            </w:tcBorders>
            <w:vAlign w:val="center"/>
          </w:tcPr>
          <w:p>
            <w:pPr>
              <w:spacing w:before="92" w:line="240" w:lineRule="auto"/>
              <w:ind w:left="17" w:right="-129" w:firstLine="0" w:firstLineChars="0"/>
              <w:jc w:val="center"/>
              <w:rPr>
                <w:rFonts w:cs="Times New Roman"/>
                <w:b/>
                <w:bCs/>
                <w:sz w:val="21"/>
                <w:szCs w:val="21"/>
                <w:lang w:bidi="zh-CN"/>
              </w:rPr>
            </w:pPr>
          </w:p>
        </w:tc>
        <w:tc>
          <w:tcPr>
            <w:tcW w:w="709" w:type="dxa"/>
            <w:vMerge w:val="continue"/>
            <w:tcBorders>
              <w:left w:val="single" w:color="auto" w:sz="4" w:space="0"/>
            </w:tcBorders>
            <w:vAlign w:val="center"/>
          </w:tcPr>
          <w:p>
            <w:pPr>
              <w:spacing w:before="92" w:line="240" w:lineRule="auto"/>
              <w:ind w:left="17" w:right="12" w:firstLine="0" w:firstLineChars="0"/>
              <w:jc w:val="center"/>
              <w:rPr>
                <w:rFonts w:cs="Times New Roman"/>
                <w:b/>
                <w:bCs/>
                <w:sz w:val="21"/>
                <w:szCs w:val="21"/>
                <w:lang w:val="zh-CN" w:bidi="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restart"/>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color w:val="000000"/>
                <w:sz w:val="21"/>
                <w:szCs w:val="21"/>
                <w:lang w:val="zh-CN" w:bidi="zh-CN"/>
              </w:rPr>
              <w:t>202</w:t>
            </w:r>
            <w:r>
              <w:rPr>
                <w:rFonts w:cs="Times New Roman"/>
                <w:color w:val="000000"/>
                <w:sz w:val="21"/>
                <w:szCs w:val="21"/>
                <w:lang w:bidi="zh-CN"/>
              </w:rPr>
              <w:t>4</w:t>
            </w:r>
            <w:r>
              <w:rPr>
                <w:rFonts w:cs="Times New Roman"/>
                <w:color w:val="000000"/>
                <w:sz w:val="21"/>
                <w:szCs w:val="21"/>
                <w:lang w:val="zh-CN" w:bidi="zh-CN"/>
              </w:rPr>
              <w:t>.</w:t>
            </w:r>
            <w:r>
              <w:rPr>
                <w:rFonts w:cs="Times New Roman"/>
                <w:color w:val="000000"/>
                <w:sz w:val="21"/>
                <w:szCs w:val="21"/>
                <w:lang w:bidi="zh-CN"/>
              </w:rPr>
              <w:t>06.13</w:t>
            </w:r>
          </w:p>
        </w:tc>
        <w:tc>
          <w:tcPr>
            <w:tcW w:w="1115" w:type="dxa"/>
            <w:vMerge w:val="restart"/>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三级化粪池</w:t>
            </w:r>
            <w:r>
              <w:rPr>
                <w:rFonts w:cs="Times New Roman"/>
                <w:sz w:val="21"/>
                <w:szCs w:val="21"/>
                <w:lang w:bidi="zh-CN"/>
              </w:rPr>
              <w:t>W1</w:t>
            </w: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 xml:space="preserve">pH值 </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6.9</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7.1</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7.2</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7.0</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6-9</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无量纲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line="240" w:lineRule="auto"/>
              <w:ind w:firstLine="0" w:firstLineChars="0"/>
              <w:jc w:val="center"/>
              <w:rPr>
                <w:rFonts w:cs="Times New Roman"/>
                <w:color w:val="000000"/>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color w:val="000000"/>
                <w:kern w:val="0"/>
                <w:sz w:val="21"/>
                <w:szCs w:val="21"/>
                <w:lang w:val="zh-CN" w:bidi="ar"/>
              </w:rPr>
              <w:t>水温</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24.4</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24.3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24.2</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24.5</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bidi="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val="zh-CN" w:bidi="zh-CN"/>
              </w:rPr>
              <w:t>悬浮物</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17</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16</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20</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15</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400</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val="zh-CN" w:bidi="zh-CN"/>
              </w:rPr>
              <w:t>化学需氧量</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327</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311</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341</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309</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500</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bidi="zh-CN"/>
              </w:rPr>
              <w:t>五日生化需氧量</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123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120</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128</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115</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300</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val="zh-CN" w:bidi="zh-CN"/>
              </w:rPr>
              <w:t>氨氮</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10.18</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10.82</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10.65</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10.48</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restart"/>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隔油池</w:t>
            </w:r>
            <w:r>
              <w:rPr>
                <w:rFonts w:cs="Times New Roman"/>
                <w:sz w:val="21"/>
                <w:szCs w:val="21"/>
                <w:lang w:bidi="zh-CN"/>
              </w:rPr>
              <w:t>W2</w:t>
            </w: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 xml:space="preserve">pH值 </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7.1</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7.3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7.1</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6.9</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6-9</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无量纲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color w:val="000000"/>
                <w:kern w:val="0"/>
                <w:sz w:val="21"/>
                <w:szCs w:val="21"/>
                <w:lang w:val="zh-CN" w:bidi="ar"/>
              </w:rPr>
              <w:t>水温</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24.3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24.6</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24.2</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24.3</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bidi="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val="zh-CN" w:bidi="zh-CN"/>
              </w:rPr>
              <w:t>悬浮物</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19</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18</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15</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17</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400</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val="zh-CN" w:bidi="zh-CN"/>
              </w:rPr>
              <w:t>化学需氧量</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154</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135</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170</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145</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500</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bidi="zh-CN"/>
              </w:rPr>
              <w:t>五日生化需氧量</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59</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48</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64</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53</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300</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val="zh-CN" w:bidi="zh-CN"/>
              </w:rPr>
              <w:t>石油类</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0.043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0.103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0.110</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0.076</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20</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bidi="zh-CN"/>
              </w:rPr>
              <w:t>LAS</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3.38</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3.69</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3.26</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3.81</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20</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color w:val="000000"/>
                <w:kern w:val="0"/>
                <w:sz w:val="21"/>
                <w:szCs w:val="21"/>
                <w:lang w:val="zh-CN" w:bidi="ar"/>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restart"/>
            <w:tcBorders>
              <w:right w:val="single" w:color="auto" w:sz="4" w:space="0"/>
            </w:tcBorders>
            <w:vAlign w:val="center"/>
          </w:tcPr>
          <w:p>
            <w:pPr>
              <w:spacing w:line="240" w:lineRule="auto"/>
              <w:ind w:left="17" w:firstLine="0" w:firstLineChars="0"/>
              <w:jc w:val="center"/>
              <w:rPr>
                <w:rFonts w:cs="Times New Roman"/>
                <w:sz w:val="21"/>
                <w:szCs w:val="21"/>
                <w:lang w:bidi="zh-CN"/>
              </w:rPr>
            </w:pPr>
            <w:r>
              <w:rPr>
                <w:rFonts w:cs="Times New Roman"/>
                <w:sz w:val="21"/>
                <w:szCs w:val="21"/>
                <w:lang w:bidi="zh-CN"/>
              </w:rPr>
              <w:t>2024.06.14</w:t>
            </w:r>
          </w:p>
        </w:tc>
        <w:tc>
          <w:tcPr>
            <w:tcW w:w="1115" w:type="dxa"/>
            <w:vMerge w:val="restart"/>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val="zh-CN" w:bidi="zh-CN"/>
              </w:rPr>
              <w:t>三级化粪池</w:t>
            </w:r>
            <w:r>
              <w:rPr>
                <w:rFonts w:cs="Times New Roman"/>
                <w:sz w:val="21"/>
                <w:szCs w:val="21"/>
                <w:lang w:bidi="zh-CN"/>
              </w:rPr>
              <w:t>W1</w:t>
            </w: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 xml:space="preserve">pH值 </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7.2</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7.1</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7.1</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7.2</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6-9</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无量纲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color w:val="000000"/>
                <w:kern w:val="0"/>
                <w:sz w:val="21"/>
                <w:szCs w:val="21"/>
                <w:lang w:val="zh-CN" w:bidi="ar"/>
              </w:rPr>
              <w:t>水温</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24.2</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24.3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24.3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24.6</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bidi="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悬浮物</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18</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15</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16</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19</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400</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化学需氧量</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352</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289</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330</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312</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500</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五日生化需氧量</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133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106</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124</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119</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300</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氨氮</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10.27</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10.87</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10.73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10.54</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restart"/>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val="zh-CN" w:bidi="zh-CN"/>
              </w:rPr>
              <w:t>隔油池</w:t>
            </w:r>
            <w:r>
              <w:rPr>
                <w:rFonts w:cs="Times New Roman"/>
                <w:sz w:val="21"/>
                <w:szCs w:val="21"/>
                <w:lang w:bidi="zh-CN"/>
              </w:rPr>
              <w:t>W2</w:t>
            </w: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 xml:space="preserve">pH值 </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7.3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7.3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7.3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7.2</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6-9</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无量纲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color w:val="000000"/>
                <w:kern w:val="0"/>
                <w:sz w:val="21"/>
                <w:szCs w:val="21"/>
                <w:lang w:val="zh-CN" w:bidi="ar"/>
              </w:rPr>
              <w:t>水温</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24.2</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24.3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24.3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24.6</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bidi="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悬浮物</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17</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15</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17</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19</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400</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化学需氧量</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181</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123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164</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130</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500</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五日生化需氧量</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68</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45</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58</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51</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300</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val="zh-CN" w:bidi="zh-CN"/>
              </w:rPr>
              <w:t>石油类</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0.055</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0.098</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0.133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0.081</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20</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sz w:val="21"/>
                <w:szCs w:val="21"/>
                <w:lang w:val="zh-CN" w:bidi="zh-CN"/>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exact"/>
        </w:trPr>
        <w:tc>
          <w:tcPr>
            <w:tcW w:w="1127" w:type="dxa"/>
            <w:vMerge w:val="continue"/>
            <w:tcBorders>
              <w:right w:val="single" w:color="auto" w:sz="4" w:space="0"/>
            </w:tcBorders>
            <w:vAlign w:val="center"/>
          </w:tcPr>
          <w:p>
            <w:pPr>
              <w:spacing w:before="92" w:line="240" w:lineRule="auto"/>
              <w:ind w:left="17" w:right="-129" w:firstLine="0" w:firstLineChars="0"/>
              <w:jc w:val="center"/>
              <w:rPr>
                <w:rFonts w:cs="Times New Roman"/>
                <w:sz w:val="21"/>
                <w:szCs w:val="21"/>
                <w:lang w:val="zh-CN" w:bidi="zh-CN"/>
              </w:rPr>
            </w:pPr>
          </w:p>
        </w:tc>
        <w:tc>
          <w:tcPr>
            <w:tcW w:w="1115" w:type="dxa"/>
            <w:vMerge w:val="continue"/>
            <w:tcBorders>
              <w:left w:val="single" w:color="auto" w:sz="4" w:space="0"/>
              <w:right w:val="single" w:color="auto" w:sz="4" w:space="0"/>
            </w:tcBorders>
            <w:vAlign w:val="center"/>
          </w:tcPr>
          <w:p>
            <w:pPr>
              <w:spacing w:line="240" w:lineRule="auto"/>
              <w:ind w:firstLine="0" w:firstLineChars="0"/>
              <w:jc w:val="center"/>
              <w:rPr>
                <w:rFonts w:cs="Times New Roman"/>
                <w:sz w:val="21"/>
                <w:szCs w:val="21"/>
                <w:lang w:val="zh-CN" w:bidi="zh-CN"/>
              </w:rPr>
            </w:pPr>
          </w:p>
        </w:tc>
        <w:tc>
          <w:tcPr>
            <w:tcW w:w="1503" w:type="dxa"/>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LAS</w:t>
            </w:r>
          </w:p>
        </w:tc>
        <w:tc>
          <w:tcPr>
            <w:tcW w:w="812" w:type="dxa"/>
            <w:tcBorders>
              <w:top w:val="single" w:color="auto" w:sz="4" w:space="0"/>
              <w:left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3.63</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3.49</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3.52</w:t>
            </w:r>
          </w:p>
        </w:tc>
        <w:tc>
          <w:tcPr>
            <w:tcW w:w="812" w:type="dxa"/>
            <w:tcBorders>
              <w:top w:val="single" w:color="auto" w:sz="4" w:space="0"/>
              <w:bottom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3.98</w:t>
            </w:r>
          </w:p>
        </w:tc>
        <w:tc>
          <w:tcPr>
            <w:tcW w:w="614" w:type="dxa"/>
            <w:tcBorders>
              <w:top w:val="single" w:color="auto" w:sz="4" w:space="0"/>
              <w:right w:val="single" w:color="auto" w:sz="4" w:space="0"/>
            </w:tcBorders>
            <w:vAlign w:val="center"/>
          </w:tcPr>
          <w:p>
            <w:pPr>
              <w:spacing w:line="240" w:lineRule="auto"/>
              <w:ind w:firstLine="0" w:firstLineChars="0"/>
              <w:jc w:val="center"/>
              <w:rPr>
                <w:rFonts w:cs="Times New Roman"/>
                <w:sz w:val="21"/>
                <w:szCs w:val="21"/>
                <w:lang w:bidi="zh-CN"/>
              </w:rPr>
            </w:pPr>
            <w:r>
              <w:rPr>
                <w:rFonts w:cs="Times New Roman"/>
                <w:sz w:val="21"/>
                <w:szCs w:val="21"/>
                <w:lang w:bidi="zh-CN"/>
              </w:rPr>
              <w:t>20</w:t>
            </w:r>
          </w:p>
        </w:tc>
        <w:tc>
          <w:tcPr>
            <w:tcW w:w="709" w:type="dxa"/>
            <w:tcBorders>
              <w:top w:val="single" w:color="auto" w:sz="4" w:space="0"/>
              <w:left w:val="single" w:color="auto" w:sz="4" w:space="0"/>
            </w:tcBorders>
            <w:vAlign w:val="center"/>
          </w:tcPr>
          <w:p>
            <w:pPr>
              <w:spacing w:line="240" w:lineRule="auto"/>
              <w:ind w:firstLine="0" w:firstLineChars="0"/>
              <w:jc w:val="center"/>
              <w:rPr>
                <w:rFonts w:cs="Times New Roman"/>
                <w:color w:val="000000"/>
                <w:kern w:val="0"/>
                <w:sz w:val="21"/>
                <w:szCs w:val="21"/>
                <w:lang w:val="zh-CN" w:bidi="ar"/>
              </w:rPr>
            </w:pPr>
            <w:r>
              <w:rPr>
                <w:rFonts w:cs="Times New Roman"/>
                <w:sz w:val="21"/>
                <w:szCs w:val="21"/>
                <w:lang w:val="zh-CN" w:bidi="zh-CN"/>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1144" w:hRule="exact"/>
        </w:trPr>
        <w:tc>
          <w:tcPr>
            <w:tcW w:w="8316" w:type="dxa"/>
            <w:gridSpan w:val="9"/>
            <w:tcBorders>
              <w:right w:val="single" w:color="auto" w:sz="4" w:space="0"/>
            </w:tcBorders>
            <w:vAlign w:val="center"/>
          </w:tcPr>
          <w:p>
            <w:pPr>
              <w:spacing w:line="240" w:lineRule="auto"/>
              <w:ind w:firstLine="0" w:firstLineChars="0"/>
              <w:rPr>
                <w:rFonts w:cs="Times New Roman"/>
                <w:color w:val="FF0000"/>
                <w:sz w:val="21"/>
                <w:szCs w:val="21"/>
              </w:rPr>
            </w:pPr>
            <w:r>
              <w:rPr>
                <w:rFonts w:cs="Times New Roman"/>
                <w:sz w:val="21"/>
                <w:szCs w:val="21"/>
              </w:rPr>
              <w:t>备注：</w:t>
            </w:r>
            <w:r>
              <w:rPr>
                <w:rFonts w:cs="Times New Roman"/>
                <w:kern w:val="0"/>
                <w:sz w:val="21"/>
                <w:szCs w:val="21"/>
                <w:lang w:bidi="ar"/>
              </w:rPr>
              <w:t>1、</w:t>
            </w:r>
            <w:r>
              <w:rPr>
                <w:rFonts w:cs="Times New Roman"/>
                <w:sz w:val="21"/>
                <w:szCs w:val="21"/>
              </w:rPr>
              <w:t>项目执行广东省地方标准《水污染物排放限值》（DB44/26-2001）第二时段三级标准；</w:t>
            </w:r>
          </w:p>
          <w:p>
            <w:pPr>
              <w:tabs>
                <w:tab w:val="left" w:pos="981"/>
              </w:tabs>
              <w:spacing w:line="240" w:lineRule="auto"/>
              <w:ind w:firstLine="0" w:firstLineChars="0"/>
              <w:rPr>
                <w:rFonts w:cs="Times New Roman"/>
                <w:sz w:val="21"/>
                <w:szCs w:val="21"/>
              </w:rPr>
            </w:pPr>
            <w:r>
              <w:rPr>
                <w:rFonts w:cs="Times New Roman"/>
                <w:sz w:val="21"/>
                <w:szCs w:val="21"/>
              </w:rPr>
              <w:t>2、本报告结果只对当时采样监测结果负责。</w:t>
            </w:r>
          </w:p>
        </w:tc>
      </w:tr>
    </w:tbl>
    <w:p>
      <w:pPr>
        <w:ind w:firstLine="480"/>
        <w:rPr>
          <w:rFonts w:cs="Times New Roman"/>
        </w:rPr>
      </w:pPr>
      <w:r>
        <w:rPr>
          <w:rFonts w:cs="Times New Roman"/>
        </w:rPr>
        <w:t>监测结果表明：</w:t>
      </w:r>
      <w:r>
        <w:rPr>
          <w:rFonts w:hint="eastAsia" w:cs="Times New Roman"/>
        </w:rPr>
        <w:t>三级化粪池排放口水污染物排放浓度范围为：pH：6.9~7.2（无量纲），化学需氧量：289～352mg/L，五日生化需氧量：106～133mg/L，悬浮物：15～20mg/L，氨氮；10.18～10.87mg/L。隔油池排放口水污染物排放浓度范围为：pH：6.9~7.3（无量纲），化学需氧量：123～181mg/L，五日生化需氧量：45～68mg/L，悬浮物：15～19mg/L，石油类；0.043～0.133mg/L，LAS：3.26～3.98mg/L。三级化粪池及隔油池中各污染物排放浓度</w:t>
      </w:r>
      <w:r>
        <w:rPr>
          <w:rFonts w:cs="Times New Roman"/>
        </w:rPr>
        <w:t>均符合广东省《水污染物排放限值》(DB44/26-2001) 第二时段三级标准。</w:t>
      </w:r>
    </w:p>
    <w:p>
      <w:pPr>
        <w:pStyle w:val="4"/>
      </w:pPr>
      <w:bookmarkStart w:id="90" w:name="_Toc164292301"/>
      <w:bookmarkStart w:id="91" w:name="_Toc156491678"/>
      <w:bookmarkStart w:id="92" w:name="_Toc12001"/>
      <w:r>
        <w:rPr>
          <w:rFonts w:hint="eastAsia"/>
        </w:rPr>
        <w:t>废气</w:t>
      </w:r>
      <w:bookmarkEnd w:id="90"/>
      <w:bookmarkEnd w:id="91"/>
      <w:bookmarkEnd w:id="92"/>
    </w:p>
    <w:p>
      <w:pPr>
        <w:ind w:firstLine="480"/>
      </w:pPr>
      <w:r>
        <w:rPr>
          <w:rFonts w:hint="eastAsia"/>
        </w:rPr>
        <w:t>本项目无组织排放废气污染物监测结果见下表：</w:t>
      </w:r>
    </w:p>
    <w:p>
      <w:pPr>
        <w:pStyle w:val="35"/>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9.2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t xml:space="preserve"> </w:t>
      </w:r>
      <w:r>
        <w:rPr>
          <w:rFonts w:hint="eastAsia"/>
        </w:rPr>
        <w:t>无组织废气检测结果</w:t>
      </w:r>
    </w:p>
    <w:tbl>
      <w:tblPr>
        <w:tblStyle w:val="22"/>
        <w:tblpPr w:leftFromText="180" w:rightFromText="180" w:vertAnchor="text" w:horzAnchor="page" w:tblpXSpec="center" w:tblpY="209"/>
        <w:tblOverlap w:val="never"/>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4"/>
        <w:gridCol w:w="1307"/>
        <w:gridCol w:w="1592"/>
        <w:gridCol w:w="1024"/>
        <w:gridCol w:w="1024"/>
        <w:gridCol w:w="1026"/>
        <w:gridCol w:w="12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trPr>
        <w:tc>
          <w:tcPr>
            <w:tcW w:w="1294" w:type="dxa"/>
            <w:vMerge w:val="restart"/>
            <w:vAlign w:val="center"/>
          </w:tcPr>
          <w:p>
            <w:pPr>
              <w:widowControl/>
              <w:spacing w:line="240" w:lineRule="auto"/>
              <w:ind w:firstLine="0" w:firstLineChars="0"/>
              <w:jc w:val="center"/>
              <w:rPr>
                <w:rFonts w:cs="Times New Roman"/>
                <w:b/>
                <w:bCs/>
                <w:color w:val="000000"/>
                <w:sz w:val="21"/>
                <w:szCs w:val="21"/>
              </w:rPr>
            </w:pPr>
            <w:r>
              <w:rPr>
                <w:rFonts w:cs="Times New Roman"/>
                <w:b/>
                <w:bCs/>
                <w:color w:val="000000"/>
                <w:sz w:val="21"/>
                <w:szCs w:val="21"/>
              </w:rPr>
              <w:t>检测日期</w:t>
            </w:r>
          </w:p>
        </w:tc>
        <w:tc>
          <w:tcPr>
            <w:tcW w:w="1307" w:type="dxa"/>
            <w:vMerge w:val="restart"/>
            <w:vAlign w:val="center"/>
          </w:tcPr>
          <w:p>
            <w:pPr>
              <w:widowControl/>
              <w:spacing w:line="240" w:lineRule="auto"/>
              <w:ind w:firstLine="0" w:firstLineChars="0"/>
              <w:jc w:val="center"/>
              <w:rPr>
                <w:rFonts w:cs="Times New Roman"/>
                <w:b/>
                <w:bCs/>
                <w:color w:val="000000"/>
                <w:sz w:val="21"/>
                <w:szCs w:val="21"/>
              </w:rPr>
            </w:pPr>
            <w:r>
              <w:rPr>
                <w:rFonts w:cs="Times New Roman"/>
                <w:b/>
                <w:bCs/>
                <w:color w:val="000000"/>
                <w:sz w:val="21"/>
                <w:szCs w:val="21"/>
              </w:rPr>
              <w:t>检测项目</w:t>
            </w:r>
          </w:p>
        </w:tc>
        <w:tc>
          <w:tcPr>
            <w:tcW w:w="1592" w:type="dxa"/>
            <w:vMerge w:val="restart"/>
            <w:vAlign w:val="center"/>
          </w:tcPr>
          <w:p>
            <w:pPr>
              <w:widowControl/>
              <w:spacing w:line="240" w:lineRule="auto"/>
              <w:ind w:firstLine="0" w:firstLineChars="0"/>
              <w:jc w:val="center"/>
              <w:rPr>
                <w:rFonts w:cs="Times New Roman"/>
                <w:b/>
                <w:bCs/>
                <w:color w:val="000000"/>
                <w:sz w:val="21"/>
                <w:szCs w:val="21"/>
              </w:rPr>
            </w:pPr>
            <w:r>
              <w:rPr>
                <w:rFonts w:cs="Times New Roman"/>
                <w:b/>
                <w:bCs/>
                <w:color w:val="000000"/>
                <w:sz w:val="21"/>
                <w:szCs w:val="21"/>
              </w:rPr>
              <w:t>检测点位</w:t>
            </w:r>
          </w:p>
        </w:tc>
        <w:tc>
          <w:tcPr>
            <w:tcW w:w="3074" w:type="dxa"/>
            <w:gridSpan w:val="3"/>
            <w:vAlign w:val="center"/>
          </w:tcPr>
          <w:p>
            <w:pPr>
              <w:widowControl/>
              <w:spacing w:line="240" w:lineRule="auto"/>
              <w:ind w:firstLine="0" w:firstLineChars="0"/>
              <w:jc w:val="center"/>
              <w:rPr>
                <w:rFonts w:cs="Times New Roman"/>
                <w:b/>
                <w:bCs/>
                <w:color w:val="000000"/>
                <w:kern w:val="0"/>
                <w:sz w:val="21"/>
                <w:szCs w:val="21"/>
              </w:rPr>
            </w:pPr>
            <w:r>
              <w:rPr>
                <w:rFonts w:cs="Times New Roman"/>
                <w:b/>
                <w:bCs/>
                <w:color w:val="000000"/>
                <w:kern w:val="0"/>
                <w:sz w:val="21"/>
                <w:szCs w:val="21"/>
              </w:rPr>
              <w:t xml:space="preserve"> 检测结果</w:t>
            </w:r>
            <w:r>
              <w:rPr>
                <w:rFonts w:cs="Times New Roman"/>
                <w:b/>
                <w:bCs/>
                <w:kern w:val="0"/>
                <w:sz w:val="21"/>
                <w:szCs w:val="21"/>
              </w:rPr>
              <w:t>（mg/m</w:t>
            </w:r>
            <w:r>
              <w:rPr>
                <w:rFonts w:cs="Times New Roman"/>
                <w:b/>
                <w:bCs/>
                <w:kern w:val="0"/>
                <w:sz w:val="21"/>
                <w:szCs w:val="21"/>
                <w:vertAlign w:val="superscript"/>
              </w:rPr>
              <w:t>3</w:t>
            </w:r>
            <w:r>
              <w:rPr>
                <w:rFonts w:cs="Times New Roman"/>
                <w:b/>
                <w:bCs/>
                <w:kern w:val="0"/>
                <w:sz w:val="21"/>
                <w:szCs w:val="21"/>
              </w:rPr>
              <w:t>）</w:t>
            </w:r>
          </w:p>
        </w:tc>
        <w:tc>
          <w:tcPr>
            <w:tcW w:w="1255" w:type="dxa"/>
            <w:vMerge w:val="restart"/>
            <w:vAlign w:val="center"/>
          </w:tcPr>
          <w:p>
            <w:pPr>
              <w:spacing w:line="240" w:lineRule="auto"/>
              <w:ind w:firstLine="0" w:firstLineChars="0"/>
              <w:rPr>
                <w:rFonts w:cs="Times New Roman"/>
                <w:b/>
                <w:bCs/>
                <w:color w:val="000000"/>
                <w:sz w:val="21"/>
                <w:szCs w:val="21"/>
              </w:rPr>
            </w:pPr>
            <w:r>
              <w:rPr>
                <w:rFonts w:cs="Times New Roman"/>
                <w:b/>
                <w:bCs/>
                <w:sz w:val="21"/>
                <w:szCs w:val="21"/>
              </w:rPr>
              <w:t>浓度限值（mg/m</w:t>
            </w:r>
            <w:r>
              <w:rPr>
                <w:rFonts w:cs="Times New Roman"/>
                <w:b/>
                <w:bCs/>
                <w:sz w:val="21"/>
                <w:szCs w:val="21"/>
                <w:vertAlign w:val="superscript"/>
              </w:rPr>
              <w:t>3</w:t>
            </w:r>
            <w:r>
              <w:rPr>
                <w:rFonts w:cs="Times New Roman"/>
                <w:b/>
                <w:bCs/>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3" w:hRule="atLeast"/>
        </w:trPr>
        <w:tc>
          <w:tcPr>
            <w:tcW w:w="1294" w:type="dxa"/>
            <w:vMerge w:val="continue"/>
            <w:vAlign w:val="center"/>
          </w:tcPr>
          <w:p>
            <w:pPr>
              <w:widowControl/>
              <w:spacing w:line="240" w:lineRule="auto"/>
              <w:ind w:firstLine="0" w:firstLineChars="0"/>
              <w:jc w:val="center"/>
              <w:rPr>
                <w:rFonts w:cs="Times New Roman"/>
                <w:b/>
                <w:bCs/>
                <w:color w:val="000000"/>
                <w:sz w:val="21"/>
                <w:szCs w:val="21"/>
              </w:rPr>
            </w:pPr>
          </w:p>
        </w:tc>
        <w:tc>
          <w:tcPr>
            <w:tcW w:w="1307" w:type="dxa"/>
            <w:vMerge w:val="continue"/>
            <w:vAlign w:val="center"/>
          </w:tcPr>
          <w:p>
            <w:pPr>
              <w:widowControl/>
              <w:spacing w:line="240" w:lineRule="auto"/>
              <w:ind w:firstLine="0" w:firstLineChars="0"/>
              <w:jc w:val="center"/>
              <w:rPr>
                <w:rFonts w:cs="Times New Roman"/>
                <w:b/>
                <w:bCs/>
                <w:color w:val="000000"/>
                <w:sz w:val="21"/>
                <w:szCs w:val="21"/>
              </w:rPr>
            </w:pPr>
          </w:p>
        </w:tc>
        <w:tc>
          <w:tcPr>
            <w:tcW w:w="1592" w:type="dxa"/>
            <w:vMerge w:val="continue"/>
            <w:vAlign w:val="center"/>
          </w:tcPr>
          <w:p>
            <w:pPr>
              <w:widowControl/>
              <w:spacing w:line="240" w:lineRule="auto"/>
              <w:ind w:firstLine="0" w:firstLineChars="0"/>
              <w:jc w:val="center"/>
              <w:rPr>
                <w:rFonts w:cs="Times New Roman"/>
                <w:b/>
                <w:bCs/>
                <w:color w:val="000000"/>
                <w:sz w:val="21"/>
                <w:szCs w:val="21"/>
              </w:rPr>
            </w:pPr>
          </w:p>
        </w:tc>
        <w:tc>
          <w:tcPr>
            <w:tcW w:w="1024" w:type="dxa"/>
            <w:vAlign w:val="center"/>
          </w:tcPr>
          <w:p>
            <w:pPr>
              <w:widowControl/>
              <w:spacing w:line="240" w:lineRule="auto"/>
              <w:ind w:firstLine="0" w:firstLineChars="0"/>
              <w:jc w:val="center"/>
              <w:rPr>
                <w:rFonts w:cs="Times New Roman"/>
                <w:b/>
                <w:bCs/>
                <w:color w:val="000000"/>
                <w:kern w:val="0"/>
                <w:sz w:val="21"/>
                <w:szCs w:val="21"/>
              </w:rPr>
            </w:pPr>
            <w:r>
              <w:rPr>
                <w:rFonts w:cs="Times New Roman"/>
                <w:b/>
                <w:bCs/>
                <w:color w:val="000000"/>
                <w:kern w:val="0"/>
                <w:sz w:val="21"/>
                <w:szCs w:val="21"/>
              </w:rPr>
              <w:t>第1次</w:t>
            </w:r>
          </w:p>
        </w:tc>
        <w:tc>
          <w:tcPr>
            <w:tcW w:w="1024" w:type="dxa"/>
            <w:vAlign w:val="center"/>
          </w:tcPr>
          <w:p>
            <w:pPr>
              <w:widowControl/>
              <w:spacing w:line="240" w:lineRule="auto"/>
              <w:ind w:firstLine="0" w:firstLineChars="0"/>
              <w:jc w:val="center"/>
              <w:rPr>
                <w:rFonts w:cs="Times New Roman"/>
                <w:b/>
                <w:bCs/>
                <w:color w:val="000000"/>
                <w:kern w:val="0"/>
                <w:sz w:val="21"/>
                <w:szCs w:val="21"/>
              </w:rPr>
            </w:pPr>
            <w:r>
              <w:rPr>
                <w:rFonts w:cs="Times New Roman"/>
                <w:b/>
                <w:bCs/>
                <w:color w:val="000000"/>
                <w:kern w:val="0"/>
                <w:sz w:val="21"/>
                <w:szCs w:val="21"/>
              </w:rPr>
              <w:t>第2次</w:t>
            </w:r>
          </w:p>
        </w:tc>
        <w:tc>
          <w:tcPr>
            <w:tcW w:w="1026" w:type="dxa"/>
            <w:vAlign w:val="center"/>
          </w:tcPr>
          <w:p>
            <w:pPr>
              <w:widowControl/>
              <w:spacing w:line="240" w:lineRule="auto"/>
              <w:ind w:firstLine="0" w:firstLineChars="0"/>
              <w:jc w:val="center"/>
              <w:rPr>
                <w:rFonts w:cs="Times New Roman"/>
                <w:b/>
                <w:bCs/>
                <w:color w:val="000000"/>
                <w:kern w:val="0"/>
                <w:sz w:val="21"/>
                <w:szCs w:val="21"/>
              </w:rPr>
            </w:pPr>
            <w:r>
              <w:rPr>
                <w:rFonts w:cs="Times New Roman"/>
                <w:b/>
                <w:bCs/>
                <w:color w:val="000000"/>
                <w:kern w:val="0"/>
                <w:sz w:val="21"/>
                <w:szCs w:val="21"/>
              </w:rPr>
              <w:t>第3次</w:t>
            </w:r>
          </w:p>
        </w:tc>
        <w:tc>
          <w:tcPr>
            <w:tcW w:w="1255" w:type="dxa"/>
            <w:vMerge w:val="continue"/>
            <w:vAlign w:val="center"/>
          </w:tcPr>
          <w:p>
            <w:pPr>
              <w:spacing w:line="240" w:lineRule="auto"/>
              <w:ind w:firstLine="0" w:firstLineChars="0"/>
              <w:rPr>
                <w:rFonts w:cs="Times New Roman"/>
                <w:b/>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trPr>
        <w:tc>
          <w:tcPr>
            <w:tcW w:w="1294" w:type="dxa"/>
            <w:vMerge w:val="restart"/>
            <w:vAlign w:val="center"/>
          </w:tcPr>
          <w:p>
            <w:pPr>
              <w:widowControl/>
              <w:spacing w:line="240" w:lineRule="auto"/>
              <w:ind w:firstLine="0" w:firstLineChars="0"/>
              <w:jc w:val="center"/>
              <w:rPr>
                <w:rFonts w:cs="Times New Roman"/>
                <w:color w:val="000000"/>
                <w:sz w:val="21"/>
                <w:szCs w:val="21"/>
              </w:rPr>
            </w:pPr>
            <w:r>
              <w:rPr>
                <w:rFonts w:cs="Times New Roman"/>
                <w:color w:val="000000"/>
                <w:sz w:val="21"/>
                <w:szCs w:val="21"/>
              </w:rPr>
              <w:t>2024.06.13</w:t>
            </w:r>
          </w:p>
        </w:tc>
        <w:tc>
          <w:tcPr>
            <w:tcW w:w="1307" w:type="dxa"/>
            <w:vMerge w:val="restart"/>
            <w:vAlign w:val="center"/>
          </w:tcPr>
          <w:p>
            <w:pPr>
              <w:widowControl/>
              <w:spacing w:line="240" w:lineRule="auto"/>
              <w:ind w:firstLine="0" w:firstLineChars="0"/>
              <w:jc w:val="center"/>
              <w:rPr>
                <w:rFonts w:cs="Times New Roman"/>
                <w:color w:val="000000"/>
                <w:kern w:val="0"/>
                <w:sz w:val="21"/>
                <w:szCs w:val="21"/>
              </w:rPr>
            </w:pPr>
            <w:r>
              <w:rPr>
                <w:rFonts w:cs="Times New Roman"/>
                <w:kern w:val="0"/>
                <w:sz w:val="21"/>
                <w:szCs w:val="21"/>
              </w:rPr>
              <w:t>非甲烷总烃</w:t>
            </w:r>
          </w:p>
        </w:tc>
        <w:tc>
          <w:tcPr>
            <w:tcW w:w="1592" w:type="dxa"/>
            <w:vAlign w:val="center"/>
          </w:tcPr>
          <w:p>
            <w:pPr>
              <w:widowControl/>
              <w:spacing w:line="240" w:lineRule="auto"/>
              <w:ind w:firstLine="0" w:firstLineChars="0"/>
              <w:jc w:val="center"/>
              <w:rPr>
                <w:rFonts w:cs="Times New Roman"/>
                <w:color w:val="000000"/>
                <w:sz w:val="21"/>
                <w:szCs w:val="21"/>
              </w:rPr>
            </w:pPr>
            <w:r>
              <w:rPr>
                <w:rFonts w:cs="Times New Roman"/>
                <w:color w:val="000000"/>
                <w:sz w:val="21"/>
                <w:szCs w:val="21"/>
              </w:rPr>
              <w:t>上风向</w:t>
            </w:r>
            <w:r>
              <w:rPr>
                <w:rFonts w:cs="Times New Roman"/>
                <w:kern w:val="0"/>
                <w:sz w:val="21"/>
                <w:szCs w:val="21"/>
              </w:rPr>
              <w:t>G</w:t>
            </w:r>
            <w:r>
              <w:rPr>
                <w:rFonts w:cs="Times New Roman"/>
                <w:color w:val="000000"/>
                <w:sz w:val="21"/>
                <w:szCs w:val="21"/>
              </w:rPr>
              <w:t>1</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2.13</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3.07</w:t>
            </w:r>
          </w:p>
        </w:tc>
        <w:tc>
          <w:tcPr>
            <w:tcW w:w="1026"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3.12</w:t>
            </w:r>
          </w:p>
        </w:tc>
        <w:tc>
          <w:tcPr>
            <w:tcW w:w="1255" w:type="dxa"/>
            <w:vMerge w:val="restart"/>
            <w:vAlign w:val="center"/>
          </w:tcPr>
          <w:p>
            <w:pPr>
              <w:spacing w:line="240" w:lineRule="auto"/>
              <w:ind w:firstLine="0" w:firstLineChars="0"/>
              <w:jc w:val="center"/>
              <w:rPr>
                <w:rFonts w:cs="Times New Roman"/>
                <w:sz w:val="21"/>
                <w:szCs w:val="21"/>
              </w:rPr>
            </w:pPr>
            <w:r>
              <w:rPr>
                <w:rFonts w:cs="Times New Roman"/>
                <w:sz w:val="21"/>
                <w:szCs w:val="21"/>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trPr>
        <w:tc>
          <w:tcPr>
            <w:tcW w:w="1294" w:type="dxa"/>
            <w:vMerge w:val="continue"/>
            <w:vAlign w:val="center"/>
          </w:tcPr>
          <w:p>
            <w:pPr>
              <w:widowControl/>
              <w:spacing w:line="240" w:lineRule="auto"/>
              <w:ind w:firstLine="0" w:firstLineChars="0"/>
              <w:jc w:val="center"/>
              <w:rPr>
                <w:rFonts w:cs="Times New Roman"/>
                <w:color w:val="000000"/>
                <w:sz w:val="21"/>
                <w:szCs w:val="21"/>
              </w:rPr>
            </w:pPr>
          </w:p>
        </w:tc>
        <w:tc>
          <w:tcPr>
            <w:tcW w:w="1307" w:type="dxa"/>
            <w:vMerge w:val="continue"/>
            <w:vAlign w:val="center"/>
          </w:tcPr>
          <w:p>
            <w:pPr>
              <w:widowControl/>
              <w:spacing w:line="240" w:lineRule="auto"/>
              <w:ind w:firstLine="0" w:firstLineChars="0"/>
              <w:jc w:val="center"/>
              <w:rPr>
                <w:rFonts w:cs="Times New Roman"/>
                <w:color w:val="000000"/>
                <w:kern w:val="0"/>
                <w:sz w:val="21"/>
                <w:szCs w:val="21"/>
              </w:rPr>
            </w:pPr>
          </w:p>
        </w:tc>
        <w:tc>
          <w:tcPr>
            <w:tcW w:w="1592" w:type="dxa"/>
            <w:vAlign w:val="center"/>
          </w:tcPr>
          <w:p>
            <w:pPr>
              <w:widowControl/>
              <w:spacing w:line="240" w:lineRule="auto"/>
              <w:ind w:firstLine="0" w:firstLineChars="0"/>
              <w:jc w:val="center"/>
              <w:rPr>
                <w:rFonts w:cs="Times New Roman"/>
                <w:color w:val="000000"/>
                <w:sz w:val="21"/>
                <w:szCs w:val="21"/>
              </w:rPr>
            </w:pPr>
            <w:r>
              <w:rPr>
                <w:rFonts w:cs="Times New Roman"/>
                <w:color w:val="000000"/>
                <w:sz w:val="21"/>
                <w:szCs w:val="21"/>
              </w:rPr>
              <w:t>下风向</w:t>
            </w:r>
            <w:r>
              <w:rPr>
                <w:rFonts w:cs="Times New Roman"/>
                <w:kern w:val="0"/>
                <w:sz w:val="21"/>
                <w:szCs w:val="21"/>
              </w:rPr>
              <w:t>G</w:t>
            </w:r>
            <w:r>
              <w:rPr>
                <w:rFonts w:cs="Times New Roman"/>
                <w:color w:val="000000"/>
                <w:sz w:val="21"/>
                <w:szCs w:val="21"/>
              </w:rPr>
              <w:t>2</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3.15</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2.59</w:t>
            </w:r>
          </w:p>
        </w:tc>
        <w:tc>
          <w:tcPr>
            <w:tcW w:w="1026"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1.69</w:t>
            </w:r>
          </w:p>
        </w:tc>
        <w:tc>
          <w:tcPr>
            <w:tcW w:w="1255" w:type="dxa"/>
            <w:vMerge w:val="continue"/>
            <w:vAlign w:val="center"/>
          </w:tcPr>
          <w:p>
            <w:pPr>
              <w:spacing w:line="280" w:lineRule="exact"/>
              <w:ind w:firstLine="0" w:firstLineChars="0"/>
              <w:jc w:val="center"/>
              <w:rPr>
                <w:rFonts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trPr>
        <w:tc>
          <w:tcPr>
            <w:tcW w:w="1294" w:type="dxa"/>
            <w:vMerge w:val="continue"/>
            <w:vAlign w:val="center"/>
          </w:tcPr>
          <w:p>
            <w:pPr>
              <w:widowControl/>
              <w:spacing w:line="240" w:lineRule="auto"/>
              <w:ind w:firstLine="0" w:firstLineChars="0"/>
              <w:jc w:val="center"/>
              <w:rPr>
                <w:rFonts w:cs="Times New Roman"/>
                <w:color w:val="000000"/>
                <w:sz w:val="21"/>
                <w:szCs w:val="21"/>
              </w:rPr>
            </w:pPr>
          </w:p>
        </w:tc>
        <w:tc>
          <w:tcPr>
            <w:tcW w:w="1307" w:type="dxa"/>
            <w:vMerge w:val="continue"/>
            <w:vAlign w:val="center"/>
          </w:tcPr>
          <w:p>
            <w:pPr>
              <w:widowControl/>
              <w:spacing w:line="240" w:lineRule="auto"/>
              <w:ind w:firstLine="0" w:firstLineChars="0"/>
              <w:jc w:val="center"/>
              <w:rPr>
                <w:rFonts w:cs="Times New Roman"/>
                <w:color w:val="000000"/>
                <w:kern w:val="0"/>
                <w:sz w:val="21"/>
                <w:szCs w:val="21"/>
              </w:rPr>
            </w:pPr>
          </w:p>
        </w:tc>
        <w:tc>
          <w:tcPr>
            <w:tcW w:w="1592" w:type="dxa"/>
            <w:vAlign w:val="center"/>
          </w:tcPr>
          <w:p>
            <w:pPr>
              <w:widowControl/>
              <w:spacing w:line="240" w:lineRule="auto"/>
              <w:ind w:firstLine="0" w:firstLineChars="0"/>
              <w:jc w:val="center"/>
              <w:rPr>
                <w:rFonts w:cs="Times New Roman"/>
                <w:color w:val="000000"/>
                <w:sz w:val="21"/>
                <w:szCs w:val="21"/>
              </w:rPr>
            </w:pPr>
            <w:r>
              <w:rPr>
                <w:rFonts w:cs="Times New Roman"/>
                <w:color w:val="000000"/>
                <w:sz w:val="21"/>
                <w:szCs w:val="21"/>
              </w:rPr>
              <w:t>下风向</w:t>
            </w:r>
            <w:r>
              <w:rPr>
                <w:rFonts w:cs="Times New Roman"/>
                <w:kern w:val="0"/>
                <w:sz w:val="21"/>
                <w:szCs w:val="21"/>
              </w:rPr>
              <w:t>G</w:t>
            </w:r>
            <w:r>
              <w:rPr>
                <w:rFonts w:cs="Times New Roman"/>
                <w:color w:val="000000"/>
                <w:sz w:val="21"/>
                <w:szCs w:val="21"/>
              </w:rPr>
              <w:t>3</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2.36</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2.47</w:t>
            </w:r>
          </w:p>
        </w:tc>
        <w:tc>
          <w:tcPr>
            <w:tcW w:w="1026"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2.11</w:t>
            </w:r>
          </w:p>
        </w:tc>
        <w:tc>
          <w:tcPr>
            <w:tcW w:w="1255" w:type="dxa"/>
            <w:vMerge w:val="continue"/>
            <w:vAlign w:val="center"/>
          </w:tcPr>
          <w:p>
            <w:pPr>
              <w:spacing w:line="280" w:lineRule="exact"/>
              <w:ind w:firstLine="0" w:firstLineChars="0"/>
              <w:jc w:val="center"/>
              <w:rPr>
                <w:rFonts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trPr>
        <w:tc>
          <w:tcPr>
            <w:tcW w:w="1294" w:type="dxa"/>
            <w:vMerge w:val="continue"/>
            <w:vAlign w:val="center"/>
          </w:tcPr>
          <w:p>
            <w:pPr>
              <w:widowControl/>
              <w:spacing w:line="240" w:lineRule="auto"/>
              <w:ind w:firstLine="0" w:firstLineChars="0"/>
              <w:jc w:val="center"/>
              <w:rPr>
                <w:rFonts w:cs="Times New Roman"/>
                <w:color w:val="000000"/>
                <w:sz w:val="21"/>
                <w:szCs w:val="21"/>
              </w:rPr>
            </w:pPr>
          </w:p>
        </w:tc>
        <w:tc>
          <w:tcPr>
            <w:tcW w:w="1307" w:type="dxa"/>
            <w:vMerge w:val="continue"/>
            <w:vAlign w:val="center"/>
          </w:tcPr>
          <w:p>
            <w:pPr>
              <w:widowControl/>
              <w:spacing w:line="240" w:lineRule="auto"/>
              <w:ind w:firstLine="0" w:firstLineChars="0"/>
              <w:jc w:val="center"/>
              <w:rPr>
                <w:rFonts w:cs="Times New Roman"/>
                <w:color w:val="000000"/>
                <w:kern w:val="0"/>
                <w:sz w:val="21"/>
                <w:szCs w:val="21"/>
              </w:rPr>
            </w:pPr>
          </w:p>
        </w:tc>
        <w:tc>
          <w:tcPr>
            <w:tcW w:w="1592" w:type="dxa"/>
            <w:vAlign w:val="center"/>
          </w:tcPr>
          <w:p>
            <w:pPr>
              <w:widowControl/>
              <w:spacing w:line="240" w:lineRule="auto"/>
              <w:ind w:firstLine="0" w:firstLineChars="0"/>
              <w:jc w:val="center"/>
              <w:rPr>
                <w:rFonts w:cs="Times New Roman"/>
                <w:color w:val="000000"/>
                <w:sz w:val="21"/>
                <w:szCs w:val="21"/>
              </w:rPr>
            </w:pPr>
            <w:r>
              <w:rPr>
                <w:rFonts w:cs="Times New Roman"/>
                <w:color w:val="000000"/>
                <w:sz w:val="21"/>
                <w:szCs w:val="21"/>
              </w:rPr>
              <w:t>下风向</w:t>
            </w:r>
            <w:r>
              <w:rPr>
                <w:rFonts w:cs="Times New Roman"/>
                <w:kern w:val="0"/>
                <w:sz w:val="21"/>
                <w:szCs w:val="21"/>
              </w:rPr>
              <w:t>G</w:t>
            </w:r>
            <w:r>
              <w:rPr>
                <w:rFonts w:cs="Times New Roman"/>
                <w:color w:val="000000"/>
                <w:sz w:val="21"/>
                <w:szCs w:val="21"/>
              </w:rPr>
              <w:t>4</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2.46</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2.40</w:t>
            </w:r>
          </w:p>
        </w:tc>
        <w:tc>
          <w:tcPr>
            <w:tcW w:w="1026"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2.57</w:t>
            </w:r>
          </w:p>
        </w:tc>
        <w:tc>
          <w:tcPr>
            <w:tcW w:w="1255" w:type="dxa"/>
            <w:vMerge w:val="continue"/>
            <w:vAlign w:val="center"/>
          </w:tcPr>
          <w:p>
            <w:pPr>
              <w:spacing w:line="280" w:lineRule="exact"/>
              <w:ind w:firstLine="0" w:firstLineChars="0"/>
              <w:jc w:val="center"/>
              <w:rPr>
                <w:rFonts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trPr>
        <w:tc>
          <w:tcPr>
            <w:tcW w:w="1294" w:type="dxa"/>
            <w:vMerge w:val="continue"/>
            <w:vAlign w:val="center"/>
          </w:tcPr>
          <w:p>
            <w:pPr>
              <w:widowControl/>
              <w:spacing w:line="240" w:lineRule="auto"/>
              <w:ind w:firstLine="0" w:firstLineChars="0"/>
              <w:jc w:val="center"/>
              <w:rPr>
                <w:rFonts w:cs="Times New Roman"/>
                <w:color w:val="000000"/>
                <w:sz w:val="21"/>
                <w:szCs w:val="21"/>
              </w:rPr>
            </w:pPr>
          </w:p>
        </w:tc>
        <w:tc>
          <w:tcPr>
            <w:tcW w:w="1307" w:type="dxa"/>
            <w:vMerge w:val="continue"/>
            <w:vAlign w:val="center"/>
          </w:tcPr>
          <w:p>
            <w:pPr>
              <w:widowControl/>
              <w:spacing w:line="240" w:lineRule="auto"/>
              <w:ind w:firstLine="0" w:firstLineChars="0"/>
              <w:jc w:val="center"/>
              <w:rPr>
                <w:rFonts w:cs="Times New Roman"/>
                <w:color w:val="000000"/>
                <w:sz w:val="21"/>
                <w:szCs w:val="21"/>
              </w:rPr>
            </w:pPr>
          </w:p>
        </w:tc>
        <w:tc>
          <w:tcPr>
            <w:tcW w:w="1592" w:type="dxa"/>
            <w:vAlign w:val="center"/>
          </w:tcPr>
          <w:p>
            <w:pPr>
              <w:widowControl/>
              <w:spacing w:line="240" w:lineRule="auto"/>
              <w:ind w:firstLine="0" w:firstLineChars="0"/>
              <w:jc w:val="center"/>
              <w:rPr>
                <w:rFonts w:cs="Times New Roman"/>
                <w:color w:val="000000"/>
                <w:sz w:val="21"/>
                <w:szCs w:val="21"/>
              </w:rPr>
            </w:pPr>
            <w:r>
              <w:rPr>
                <w:rFonts w:cs="Times New Roman"/>
                <w:kern w:val="0"/>
                <w:sz w:val="21"/>
                <w:szCs w:val="21"/>
              </w:rPr>
              <w:t>加油站站内G5</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2.43</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2.48</w:t>
            </w:r>
          </w:p>
        </w:tc>
        <w:tc>
          <w:tcPr>
            <w:tcW w:w="1026"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2.31</w:t>
            </w:r>
          </w:p>
        </w:tc>
        <w:tc>
          <w:tcPr>
            <w:tcW w:w="1255" w:type="dxa"/>
            <w:vAlign w:val="center"/>
          </w:tcPr>
          <w:p>
            <w:pPr>
              <w:spacing w:line="240" w:lineRule="auto"/>
              <w:ind w:firstLine="0" w:firstLineChars="0"/>
              <w:jc w:val="center"/>
              <w:rPr>
                <w:rFonts w:cs="Times New Roman"/>
                <w:sz w:val="21"/>
                <w:szCs w:val="21"/>
              </w:rPr>
            </w:pPr>
            <w:r>
              <w:rPr>
                <w:rFonts w:cs="Times New Roman"/>
                <w:sz w:val="21"/>
                <w:szCs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trPr>
        <w:tc>
          <w:tcPr>
            <w:tcW w:w="1294" w:type="dxa"/>
            <w:vMerge w:val="restart"/>
            <w:vAlign w:val="center"/>
          </w:tcPr>
          <w:p>
            <w:pPr>
              <w:widowControl/>
              <w:spacing w:line="240" w:lineRule="auto"/>
              <w:ind w:firstLine="0" w:firstLineChars="0"/>
              <w:jc w:val="center"/>
              <w:rPr>
                <w:rFonts w:cs="Times New Roman"/>
                <w:color w:val="000000"/>
                <w:sz w:val="21"/>
                <w:szCs w:val="21"/>
              </w:rPr>
            </w:pPr>
            <w:r>
              <w:rPr>
                <w:rFonts w:cs="Times New Roman"/>
                <w:color w:val="000000"/>
                <w:sz w:val="21"/>
                <w:szCs w:val="21"/>
              </w:rPr>
              <w:t>2024.06.14</w:t>
            </w:r>
          </w:p>
        </w:tc>
        <w:tc>
          <w:tcPr>
            <w:tcW w:w="1307" w:type="dxa"/>
            <w:vMerge w:val="restart"/>
            <w:vAlign w:val="center"/>
          </w:tcPr>
          <w:p>
            <w:pPr>
              <w:widowControl/>
              <w:spacing w:line="240" w:lineRule="auto"/>
              <w:ind w:firstLine="0" w:firstLineChars="0"/>
              <w:jc w:val="center"/>
              <w:rPr>
                <w:rFonts w:cs="Times New Roman"/>
                <w:color w:val="000000"/>
                <w:sz w:val="21"/>
                <w:szCs w:val="21"/>
              </w:rPr>
            </w:pPr>
            <w:r>
              <w:rPr>
                <w:rFonts w:cs="Times New Roman"/>
                <w:kern w:val="0"/>
                <w:sz w:val="21"/>
                <w:szCs w:val="21"/>
              </w:rPr>
              <w:t>非甲烷总烃</w:t>
            </w:r>
          </w:p>
        </w:tc>
        <w:tc>
          <w:tcPr>
            <w:tcW w:w="1592" w:type="dxa"/>
            <w:vAlign w:val="center"/>
          </w:tcPr>
          <w:p>
            <w:pPr>
              <w:widowControl/>
              <w:spacing w:line="240" w:lineRule="auto"/>
              <w:ind w:firstLine="0" w:firstLineChars="0"/>
              <w:jc w:val="center"/>
              <w:rPr>
                <w:rFonts w:cs="Times New Roman"/>
                <w:color w:val="000000"/>
                <w:sz w:val="21"/>
                <w:szCs w:val="21"/>
              </w:rPr>
            </w:pPr>
            <w:r>
              <w:rPr>
                <w:rFonts w:cs="Times New Roman"/>
                <w:color w:val="000000"/>
                <w:sz w:val="21"/>
                <w:szCs w:val="21"/>
              </w:rPr>
              <w:t>上风向</w:t>
            </w:r>
            <w:r>
              <w:rPr>
                <w:rFonts w:cs="Times New Roman"/>
                <w:kern w:val="0"/>
                <w:sz w:val="21"/>
                <w:szCs w:val="21"/>
              </w:rPr>
              <w:t>G</w:t>
            </w:r>
            <w:r>
              <w:rPr>
                <w:rFonts w:cs="Times New Roman"/>
                <w:color w:val="000000"/>
                <w:sz w:val="21"/>
                <w:szCs w:val="21"/>
              </w:rPr>
              <w:t>1</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2.97</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2.77</w:t>
            </w:r>
          </w:p>
        </w:tc>
        <w:tc>
          <w:tcPr>
            <w:tcW w:w="1026"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3.01</w:t>
            </w:r>
          </w:p>
        </w:tc>
        <w:tc>
          <w:tcPr>
            <w:tcW w:w="1255" w:type="dxa"/>
            <w:vMerge w:val="restart"/>
            <w:vAlign w:val="center"/>
          </w:tcPr>
          <w:p>
            <w:pPr>
              <w:spacing w:line="280" w:lineRule="exact"/>
              <w:ind w:firstLine="0" w:firstLineChars="0"/>
              <w:jc w:val="center"/>
              <w:rPr>
                <w:rFonts w:cs="Times New Roman"/>
                <w:color w:val="000000"/>
                <w:sz w:val="21"/>
                <w:szCs w:val="21"/>
              </w:rPr>
            </w:pPr>
            <w:r>
              <w:rPr>
                <w:rFonts w:cs="Times New Roman"/>
                <w:color w:val="000000"/>
                <w:sz w:val="21"/>
                <w:szCs w:val="21"/>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trPr>
        <w:tc>
          <w:tcPr>
            <w:tcW w:w="1294" w:type="dxa"/>
            <w:vMerge w:val="continue"/>
            <w:vAlign w:val="center"/>
          </w:tcPr>
          <w:p>
            <w:pPr>
              <w:widowControl/>
              <w:spacing w:line="240" w:lineRule="auto"/>
              <w:ind w:firstLine="0" w:firstLineChars="0"/>
              <w:jc w:val="center"/>
              <w:rPr>
                <w:rFonts w:cs="Times New Roman"/>
                <w:color w:val="000000"/>
                <w:sz w:val="21"/>
                <w:szCs w:val="21"/>
              </w:rPr>
            </w:pPr>
          </w:p>
        </w:tc>
        <w:tc>
          <w:tcPr>
            <w:tcW w:w="1307" w:type="dxa"/>
            <w:vMerge w:val="continue"/>
            <w:vAlign w:val="center"/>
          </w:tcPr>
          <w:p>
            <w:pPr>
              <w:widowControl/>
              <w:spacing w:line="240" w:lineRule="auto"/>
              <w:ind w:firstLine="0" w:firstLineChars="0"/>
              <w:jc w:val="center"/>
              <w:rPr>
                <w:rFonts w:cs="Times New Roman"/>
                <w:color w:val="000000"/>
                <w:sz w:val="21"/>
                <w:szCs w:val="21"/>
              </w:rPr>
            </w:pPr>
          </w:p>
        </w:tc>
        <w:tc>
          <w:tcPr>
            <w:tcW w:w="1592" w:type="dxa"/>
            <w:vAlign w:val="center"/>
          </w:tcPr>
          <w:p>
            <w:pPr>
              <w:widowControl/>
              <w:spacing w:line="240" w:lineRule="auto"/>
              <w:ind w:firstLine="0" w:firstLineChars="0"/>
              <w:jc w:val="center"/>
              <w:rPr>
                <w:rFonts w:cs="Times New Roman"/>
                <w:color w:val="000000"/>
                <w:sz w:val="21"/>
                <w:szCs w:val="21"/>
              </w:rPr>
            </w:pPr>
            <w:r>
              <w:rPr>
                <w:rFonts w:cs="Times New Roman"/>
                <w:color w:val="000000"/>
                <w:sz w:val="21"/>
                <w:szCs w:val="21"/>
              </w:rPr>
              <w:t>下风向</w:t>
            </w:r>
            <w:r>
              <w:rPr>
                <w:rFonts w:cs="Times New Roman"/>
                <w:kern w:val="0"/>
                <w:sz w:val="21"/>
                <w:szCs w:val="21"/>
              </w:rPr>
              <w:t>G</w:t>
            </w:r>
            <w:r>
              <w:rPr>
                <w:rFonts w:cs="Times New Roman"/>
                <w:color w:val="000000"/>
                <w:sz w:val="21"/>
                <w:szCs w:val="21"/>
              </w:rPr>
              <w:t>2</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3.06</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2.35</w:t>
            </w:r>
          </w:p>
        </w:tc>
        <w:tc>
          <w:tcPr>
            <w:tcW w:w="1026"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2.34</w:t>
            </w:r>
          </w:p>
        </w:tc>
        <w:tc>
          <w:tcPr>
            <w:tcW w:w="1255" w:type="dxa"/>
            <w:vMerge w:val="continue"/>
            <w:vAlign w:val="center"/>
          </w:tcPr>
          <w:p>
            <w:pPr>
              <w:spacing w:line="280" w:lineRule="exact"/>
              <w:ind w:firstLine="0" w:firstLineChars="0"/>
              <w:jc w:val="center"/>
              <w:rPr>
                <w:rFonts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trPr>
        <w:tc>
          <w:tcPr>
            <w:tcW w:w="1294" w:type="dxa"/>
            <w:vMerge w:val="continue"/>
            <w:vAlign w:val="center"/>
          </w:tcPr>
          <w:p>
            <w:pPr>
              <w:widowControl/>
              <w:spacing w:line="240" w:lineRule="auto"/>
              <w:ind w:firstLine="0" w:firstLineChars="0"/>
              <w:jc w:val="center"/>
              <w:rPr>
                <w:rFonts w:cs="Times New Roman"/>
                <w:color w:val="000000"/>
                <w:sz w:val="21"/>
                <w:szCs w:val="21"/>
              </w:rPr>
            </w:pPr>
          </w:p>
        </w:tc>
        <w:tc>
          <w:tcPr>
            <w:tcW w:w="1307" w:type="dxa"/>
            <w:vMerge w:val="continue"/>
            <w:vAlign w:val="center"/>
          </w:tcPr>
          <w:p>
            <w:pPr>
              <w:widowControl/>
              <w:spacing w:line="240" w:lineRule="auto"/>
              <w:ind w:firstLine="0" w:firstLineChars="0"/>
              <w:jc w:val="center"/>
              <w:rPr>
                <w:rFonts w:cs="Times New Roman"/>
                <w:color w:val="000000"/>
                <w:sz w:val="21"/>
                <w:szCs w:val="21"/>
              </w:rPr>
            </w:pPr>
          </w:p>
        </w:tc>
        <w:tc>
          <w:tcPr>
            <w:tcW w:w="1592" w:type="dxa"/>
            <w:vAlign w:val="center"/>
          </w:tcPr>
          <w:p>
            <w:pPr>
              <w:widowControl/>
              <w:spacing w:line="240" w:lineRule="auto"/>
              <w:ind w:firstLine="0" w:firstLineChars="0"/>
              <w:jc w:val="center"/>
              <w:rPr>
                <w:rFonts w:cs="Times New Roman"/>
                <w:color w:val="000000"/>
                <w:sz w:val="21"/>
                <w:szCs w:val="21"/>
              </w:rPr>
            </w:pPr>
            <w:r>
              <w:rPr>
                <w:rFonts w:cs="Times New Roman"/>
                <w:color w:val="000000"/>
                <w:sz w:val="21"/>
                <w:szCs w:val="21"/>
              </w:rPr>
              <w:t>下风向</w:t>
            </w:r>
            <w:r>
              <w:rPr>
                <w:rFonts w:cs="Times New Roman"/>
                <w:kern w:val="0"/>
                <w:sz w:val="21"/>
                <w:szCs w:val="21"/>
              </w:rPr>
              <w:t>G</w:t>
            </w:r>
            <w:r>
              <w:rPr>
                <w:rFonts w:cs="Times New Roman"/>
                <w:color w:val="000000"/>
                <w:sz w:val="21"/>
                <w:szCs w:val="21"/>
              </w:rPr>
              <w:t>3</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2.12</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1.94</w:t>
            </w:r>
          </w:p>
        </w:tc>
        <w:tc>
          <w:tcPr>
            <w:tcW w:w="1026"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2.02</w:t>
            </w:r>
          </w:p>
        </w:tc>
        <w:tc>
          <w:tcPr>
            <w:tcW w:w="1255" w:type="dxa"/>
            <w:vMerge w:val="continue"/>
            <w:vAlign w:val="center"/>
          </w:tcPr>
          <w:p>
            <w:pPr>
              <w:spacing w:line="280" w:lineRule="exact"/>
              <w:ind w:firstLine="0" w:firstLineChars="0"/>
              <w:jc w:val="center"/>
              <w:rPr>
                <w:rFonts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trPr>
        <w:tc>
          <w:tcPr>
            <w:tcW w:w="1294" w:type="dxa"/>
            <w:vMerge w:val="continue"/>
            <w:vAlign w:val="center"/>
          </w:tcPr>
          <w:p>
            <w:pPr>
              <w:widowControl/>
              <w:spacing w:line="240" w:lineRule="auto"/>
              <w:ind w:firstLine="0" w:firstLineChars="0"/>
              <w:jc w:val="center"/>
              <w:rPr>
                <w:rFonts w:cs="Times New Roman"/>
                <w:color w:val="000000"/>
                <w:sz w:val="21"/>
                <w:szCs w:val="21"/>
              </w:rPr>
            </w:pPr>
          </w:p>
        </w:tc>
        <w:tc>
          <w:tcPr>
            <w:tcW w:w="1307" w:type="dxa"/>
            <w:vMerge w:val="continue"/>
            <w:vAlign w:val="center"/>
          </w:tcPr>
          <w:p>
            <w:pPr>
              <w:widowControl/>
              <w:spacing w:line="240" w:lineRule="auto"/>
              <w:ind w:firstLine="0" w:firstLineChars="0"/>
              <w:jc w:val="center"/>
              <w:rPr>
                <w:rFonts w:cs="Times New Roman"/>
                <w:color w:val="000000"/>
                <w:sz w:val="21"/>
                <w:szCs w:val="21"/>
              </w:rPr>
            </w:pPr>
          </w:p>
        </w:tc>
        <w:tc>
          <w:tcPr>
            <w:tcW w:w="1592" w:type="dxa"/>
            <w:vAlign w:val="center"/>
          </w:tcPr>
          <w:p>
            <w:pPr>
              <w:widowControl/>
              <w:spacing w:line="240" w:lineRule="auto"/>
              <w:ind w:firstLine="0" w:firstLineChars="0"/>
              <w:jc w:val="center"/>
              <w:rPr>
                <w:rFonts w:cs="Times New Roman"/>
                <w:color w:val="000000"/>
                <w:sz w:val="21"/>
                <w:szCs w:val="21"/>
              </w:rPr>
            </w:pPr>
            <w:r>
              <w:rPr>
                <w:rFonts w:cs="Times New Roman"/>
                <w:color w:val="000000"/>
                <w:sz w:val="21"/>
                <w:szCs w:val="21"/>
              </w:rPr>
              <w:t>下风向</w:t>
            </w:r>
            <w:r>
              <w:rPr>
                <w:rFonts w:cs="Times New Roman"/>
                <w:kern w:val="0"/>
                <w:sz w:val="21"/>
                <w:szCs w:val="21"/>
              </w:rPr>
              <w:t>G</w:t>
            </w:r>
            <w:r>
              <w:rPr>
                <w:rFonts w:cs="Times New Roman"/>
                <w:color w:val="000000"/>
                <w:sz w:val="21"/>
                <w:szCs w:val="21"/>
              </w:rPr>
              <w:t>4</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1.99</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2.11</w:t>
            </w:r>
          </w:p>
        </w:tc>
        <w:tc>
          <w:tcPr>
            <w:tcW w:w="1026"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1.97</w:t>
            </w:r>
          </w:p>
        </w:tc>
        <w:tc>
          <w:tcPr>
            <w:tcW w:w="1255" w:type="dxa"/>
            <w:vMerge w:val="continue"/>
            <w:vAlign w:val="center"/>
          </w:tcPr>
          <w:p>
            <w:pPr>
              <w:spacing w:line="280" w:lineRule="exact"/>
              <w:ind w:firstLine="0" w:firstLineChars="0"/>
              <w:jc w:val="center"/>
              <w:rPr>
                <w:rFonts w:cs="Times New Roman"/>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trPr>
        <w:tc>
          <w:tcPr>
            <w:tcW w:w="1294" w:type="dxa"/>
            <w:vMerge w:val="continue"/>
            <w:vAlign w:val="center"/>
          </w:tcPr>
          <w:p>
            <w:pPr>
              <w:widowControl/>
              <w:spacing w:line="240" w:lineRule="auto"/>
              <w:ind w:firstLine="0" w:firstLineChars="0"/>
              <w:jc w:val="center"/>
              <w:rPr>
                <w:rFonts w:cs="Times New Roman"/>
                <w:color w:val="000000"/>
                <w:sz w:val="21"/>
                <w:szCs w:val="21"/>
              </w:rPr>
            </w:pPr>
          </w:p>
        </w:tc>
        <w:tc>
          <w:tcPr>
            <w:tcW w:w="1307" w:type="dxa"/>
            <w:vMerge w:val="continue"/>
            <w:vAlign w:val="center"/>
          </w:tcPr>
          <w:p>
            <w:pPr>
              <w:widowControl/>
              <w:spacing w:line="240" w:lineRule="auto"/>
              <w:ind w:firstLine="0" w:firstLineChars="0"/>
              <w:jc w:val="center"/>
              <w:rPr>
                <w:rFonts w:cs="Times New Roman"/>
                <w:color w:val="000000"/>
                <w:sz w:val="21"/>
                <w:szCs w:val="21"/>
              </w:rPr>
            </w:pPr>
          </w:p>
        </w:tc>
        <w:tc>
          <w:tcPr>
            <w:tcW w:w="1592" w:type="dxa"/>
            <w:vAlign w:val="center"/>
          </w:tcPr>
          <w:p>
            <w:pPr>
              <w:widowControl/>
              <w:spacing w:line="240" w:lineRule="auto"/>
              <w:ind w:firstLine="0" w:firstLineChars="0"/>
              <w:jc w:val="center"/>
              <w:rPr>
                <w:rFonts w:cs="Times New Roman"/>
                <w:color w:val="000000"/>
                <w:sz w:val="21"/>
                <w:szCs w:val="21"/>
              </w:rPr>
            </w:pPr>
            <w:r>
              <w:rPr>
                <w:rFonts w:cs="Times New Roman"/>
                <w:kern w:val="0"/>
                <w:sz w:val="21"/>
                <w:szCs w:val="21"/>
              </w:rPr>
              <w:t>加油站站内G5</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2.11</w:t>
            </w:r>
          </w:p>
        </w:tc>
        <w:tc>
          <w:tcPr>
            <w:tcW w:w="1024"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2.07</w:t>
            </w:r>
          </w:p>
        </w:tc>
        <w:tc>
          <w:tcPr>
            <w:tcW w:w="1026" w:type="dxa"/>
            <w:vAlign w:val="center"/>
          </w:tcPr>
          <w:p>
            <w:pPr>
              <w:spacing w:line="312" w:lineRule="auto"/>
              <w:ind w:firstLine="0" w:firstLineChars="0"/>
              <w:jc w:val="center"/>
              <w:rPr>
                <w:rFonts w:cs="Times New Roman"/>
                <w:color w:val="000000"/>
                <w:sz w:val="21"/>
                <w:szCs w:val="21"/>
              </w:rPr>
            </w:pPr>
            <w:r>
              <w:rPr>
                <w:rFonts w:cs="Times New Roman"/>
                <w:color w:val="000000"/>
                <w:sz w:val="21"/>
                <w:szCs w:val="21"/>
              </w:rPr>
              <w:t>2.11</w:t>
            </w:r>
          </w:p>
        </w:tc>
        <w:tc>
          <w:tcPr>
            <w:tcW w:w="1255" w:type="dxa"/>
            <w:vAlign w:val="center"/>
          </w:tcPr>
          <w:p>
            <w:pPr>
              <w:spacing w:line="280" w:lineRule="exact"/>
              <w:ind w:firstLine="0" w:firstLineChars="0"/>
              <w:jc w:val="center"/>
              <w:rPr>
                <w:rFonts w:cs="Times New Roman"/>
                <w:color w:val="000000"/>
                <w:sz w:val="21"/>
                <w:szCs w:val="21"/>
              </w:rPr>
            </w:pPr>
            <w:r>
              <w:rPr>
                <w:rFonts w:cs="Times New Roman"/>
                <w:color w:val="000000"/>
                <w:sz w:val="21"/>
                <w:szCs w:val="21"/>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57" w:hRule="exact"/>
        </w:trPr>
        <w:tc>
          <w:tcPr>
            <w:tcW w:w="8522" w:type="dxa"/>
            <w:gridSpan w:val="7"/>
            <w:vAlign w:val="center"/>
          </w:tcPr>
          <w:p>
            <w:pPr>
              <w:spacing w:line="240" w:lineRule="auto"/>
              <w:ind w:firstLine="0" w:firstLineChars="0"/>
              <w:rPr>
                <w:rFonts w:cs="Times New Roman"/>
                <w:sz w:val="21"/>
                <w:szCs w:val="21"/>
              </w:rPr>
            </w:pPr>
            <w:r>
              <w:rPr>
                <w:rFonts w:cs="Times New Roman"/>
                <w:sz w:val="21"/>
                <w:szCs w:val="21"/>
              </w:rPr>
              <w:t>备注：1、厂界执行《加油站大气污染物排放标准》（GB20952-2020）的规定限值；站内执行</w:t>
            </w:r>
            <w:r>
              <w:rPr>
                <w:rFonts w:cs="Times New Roman"/>
                <w:kern w:val="0"/>
                <w:sz w:val="21"/>
                <w:szCs w:val="21"/>
              </w:rPr>
              <w:t>《挥发性有机物无组织排放控制标准》（GB37822-2019）；</w:t>
            </w:r>
          </w:p>
          <w:p>
            <w:pPr>
              <w:spacing w:line="240" w:lineRule="auto"/>
              <w:ind w:firstLine="0" w:firstLineChars="0"/>
              <w:rPr>
                <w:rFonts w:cs="Times New Roman"/>
                <w:color w:val="000000"/>
                <w:sz w:val="21"/>
                <w:szCs w:val="21"/>
              </w:rPr>
            </w:pPr>
            <w:r>
              <w:rPr>
                <w:rFonts w:cs="Times New Roman"/>
                <w:sz w:val="21"/>
                <w:szCs w:val="21"/>
              </w:rPr>
              <w:t>2、本报告结果只对当时采样监测结果负责。</w:t>
            </w:r>
          </w:p>
        </w:tc>
      </w:tr>
    </w:tbl>
    <w:p>
      <w:pPr>
        <w:autoSpaceDE w:val="0"/>
        <w:autoSpaceDN w:val="0"/>
        <w:adjustRightInd w:val="0"/>
        <w:spacing w:line="360" w:lineRule="exact"/>
        <w:ind w:firstLine="0" w:firstLineChars="0"/>
        <w:rPr>
          <w:rFonts w:cs="Times New Roman"/>
          <w:b/>
          <w:szCs w:val="24"/>
        </w:rPr>
      </w:pPr>
      <w:r>
        <w:rPr>
          <w:rFonts w:hint="eastAsia" w:cs="Times New Roman"/>
          <w:b/>
          <w:szCs w:val="24"/>
        </w:rPr>
        <w:t>附表：气象参数</w:t>
      </w:r>
    </w:p>
    <w:tbl>
      <w:tblPr>
        <w:tblStyle w:val="23"/>
        <w:tblpPr w:leftFromText="180" w:rightFromText="180" w:vertAnchor="text" w:horzAnchor="page" w:tblpXSpec="center" w:tblpY="298"/>
        <w:tblOverlap w:val="never"/>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5"/>
        <w:gridCol w:w="1098"/>
        <w:gridCol w:w="1292"/>
        <w:gridCol w:w="1386"/>
        <w:gridCol w:w="1159"/>
        <w:gridCol w:w="1203"/>
        <w:gridCol w:w="9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3" w:hRule="atLeast"/>
        </w:trPr>
        <w:tc>
          <w:tcPr>
            <w:tcW w:w="1385" w:type="dxa"/>
            <w:tcBorders>
              <w:tl2br w:val="nil"/>
              <w:tr2bl w:val="nil"/>
            </w:tcBorders>
            <w:vAlign w:val="center"/>
          </w:tcPr>
          <w:p>
            <w:pPr>
              <w:adjustRightInd w:val="0"/>
              <w:spacing w:line="240" w:lineRule="auto"/>
              <w:ind w:firstLine="0" w:firstLineChars="0"/>
              <w:jc w:val="center"/>
              <w:rPr>
                <w:rFonts w:cs="Times New Roman"/>
                <w:b/>
                <w:bCs/>
                <w:sz w:val="21"/>
                <w:szCs w:val="21"/>
              </w:rPr>
            </w:pPr>
            <w:r>
              <w:rPr>
                <w:rFonts w:cs="Times New Roman"/>
                <w:b/>
                <w:bCs/>
                <w:sz w:val="21"/>
                <w:szCs w:val="21"/>
              </w:rPr>
              <w:t>日期</w:t>
            </w:r>
          </w:p>
        </w:tc>
        <w:tc>
          <w:tcPr>
            <w:tcW w:w="1098" w:type="dxa"/>
            <w:tcBorders>
              <w:tl2br w:val="nil"/>
              <w:tr2bl w:val="nil"/>
            </w:tcBorders>
            <w:vAlign w:val="center"/>
          </w:tcPr>
          <w:p>
            <w:pPr>
              <w:adjustRightInd w:val="0"/>
              <w:spacing w:line="240" w:lineRule="auto"/>
              <w:ind w:firstLine="0" w:firstLineChars="0"/>
              <w:jc w:val="center"/>
              <w:rPr>
                <w:rFonts w:cs="Times New Roman"/>
                <w:b/>
                <w:bCs/>
                <w:sz w:val="21"/>
                <w:szCs w:val="21"/>
              </w:rPr>
            </w:pPr>
            <w:r>
              <w:rPr>
                <w:rFonts w:cs="Times New Roman"/>
                <w:b/>
                <w:bCs/>
                <w:sz w:val="21"/>
                <w:szCs w:val="21"/>
              </w:rPr>
              <w:t>天气</w:t>
            </w:r>
          </w:p>
        </w:tc>
        <w:tc>
          <w:tcPr>
            <w:tcW w:w="1292" w:type="dxa"/>
            <w:tcBorders>
              <w:tl2br w:val="nil"/>
              <w:tr2bl w:val="nil"/>
            </w:tcBorders>
            <w:vAlign w:val="center"/>
          </w:tcPr>
          <w:p>
            <w:pPr>
              <w:adjustRightInd w:val="0"/>
              <w:spacing w:line="240" w:lineRule="auto"/>
              <w:ind w:firstLine="0" w:firstLineChars="0"/>
              <w:jc w:val="center"/>
              <w:rPr>
                <w:rFonts w:cs="Times New Roman"/>
                <w:b/>
                <w:bCs/>
                <w:sz w:val="21"/>
                <w:szCs w:val="21"/>
              </w:rPr>
            </w:pPr>
            <w:r>
              <w:rPr>
                <w:rFonts w:cs="Times New Roman"/>
                <w:b/>
                <w:bCs/>
                <w:sz w:val="21"/>
                <w:szCs w:val="21"/>
              </w:rPr>
              <w:t>气温（℃）</w:t>
            </w:r>
          </w:p>
        </w:tc>
        <w:tc>
          <w:tcPr>
            <w:tcW w:w="1386" w:type="dxa"/>
            <w:tcBorders>
              <w:tl2br w:val="nil"/>
              <w:tr2bl w:val="nil"/>
            </w:tcBorders>
            <w:vAlign w:val="center"/>
          </w:tcPr>
          <w:p>
            <w:pPr>
              <w:adjustRightInd w:val="0"/>
              <w:spacing w:line="240" w:lineRule="auto"/>
              <w:ind w:firstLine="0" w:firstLineChars="0"/>
              <w:jc w:val="center"/>
              <w:rPr>
                <w:rFonts w:cs="Times New Roman"/>
                <w:b/>
                <w:bCs/>
                <w:sz w:val="21"/>
                <w:szCs w:val="21"/>
              </w:rPr>
            </w:pPr>
            <w:r>
              <w:rPr>
                <w:rFonts w:cs="Times New Roman"/>
                <w:b/>
                <w:bCs/>
                <w:sz w:val="21"/>
                <w:szCs w:val="21"/>
              </w:rPr>
              <w:t>气压（kPa）</w:t>
            </w:r>
          </w:p>
        </w:tc>
        <w:tc>
          <w:tcPr>
            <w:tcW w:w="1159" w:type="dxa"/>
            <w:tcBorders>
              <w:tl2br w:val="nil"/>
              <w:tr2bl w:val="nil"/>
            </w:tcBorders>
            <w:vAlign w:val="center"/>
          </w:tcPr>
          <w:p>
            <w:pPr>
              <w:adjustRightInd w:val="0"/>
              <w:spacing w:line="240" w:lineRule="auto"/>
              <w:ind w:firstLine="0" w:firstLineChars="0"/>
              <w:jc w:val="center"/>
              <w:rPr>
                <w:rFonts w:cs="Times New Roman"/>
                <w:b/>
                <w:bCs/>
                <w:sz w:val="21"/>
                <w:szCs w:val="21"/>
              </w:rPr>
            </w:pPr>
            <w:r>
              <w:rPr>
                <w:rFonts w:cs="Times New Roman"/>
                <w:b/>
                <w:bCs/>
                <w:sz w:val="21"/>
                <w:szCs w:val="21"/>
              </w:rPr>
              <w:t>湿度（%）</w:t>
            </w:r>
          </w:p>
        </w:tc>
        <w:tc>
          <w:tcPr>
            <w:tcW w:w="1203" w:type="dxa"/>
            <w:tcBorders>
              <w:tl2br w:val="nil"/>
              <w:tr2bl w:val="nil"/>
            </w:tcBorders>
            <w:vAlign w:val="center"/>
          </w:tcPr>
          <w:p>
            <w:pPr>
              <w:adjustRightInd w:val="0"/>
              <w:spacing w:line="240" w:lineRule="auto"/>
              <w:ind w:firstLine="0" w:firstLineChars="0"/>
              <w:jc w:val="center"/>
              <w:rPr>
                <w:rFonts w:cs="Times New Roman"/>
                <w:b/>
                <w:bCs/>
                <w:sz w:val="21"/>
                <w:szCs w:val="21"/>
              </w:rPr>
            </w:pPr>
            <w:r>
              <w:rPr>
                <w:rFonts w:cs="Times New Roman"/>
                <w:b/>
                <w:bCs/>
                <w:sz w:val="21"/>
                <w:szCs w:val="21"/>
              </w:rPr>
              <w:t>风速（m/s）</w:t>
            </w:r>
          </w:p>
        </w:tc>
        <w:tc>
          <w:tcPr>
            <w:tcW w:w="999" w:type="dxa"/>
            <w:tcBorders>
              <w:tl2br w:val="nil"/>
              <w:tr2bl w:val="nil"/>
            </w:tcBorders>
            <w:vAlign w:val="center"/>
          </w:tcPr>
          <w:p>
            <w:pPr>
              <w:adjustRightInd w:val="0"/>
              <w:spacing w:line="240" w:lineRule="auto"/>
              <w:ind w:firstLine="0" w:firstLineChars="0"/>
              <w:jc w:val="center"/>
              <w:rPr>
                <w:rFonts w:cs="Times New Roman"/>
                <w:b/>
                <w:bCs/>
                <w:sz w:val="21"/>
                <w:szCs w:val="21"/>
              </w:rPr>
            </w:pPr>
            <w:r>
              <w:rPr>
                <w:rFonts w:cs="Times New Roman"/>
                <w:b/>
                <w:bCs/>
                <w:sz w:val="21"/>
                <w:szCs w:val="21"/>
              </w:rPr>
              <w:t>风向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3" w:hRule="atLeast"/>
        </w:trPr>
        <w:tc>
          <w:tcPr>
            <w:tcW w:w="1385" w:type="dxa"/>
            <w:tcBorders>
              <w:tl2br w:val="nil"/>
              <w:tr2bl w:val="nil"/>
            </w:tcBorders>
            <w:vAlign w:val="center"/>
          </w:tcPr>
          <w:p>
            <w:pPr>
              <w:tabs>
                <w:tab w:val="left" w:pos="255"/>
                <w:tab w:val="center" w:pos="624"/>
              </w:tabs>
              <w:adjustRightInd w:val="0"/>
              <w:spacing w:line="300" w:lineRule="exact"/>
              <w:ind w:firstLine="0" w:firstLineChars="0"/>
              <w:jc w:val="center"/>
              <w:rPr>
                <w:rFonts w:cs="Times New Roman"/>
                <w:sz w:val="21"/>
                <w:szCs w:val="21"/>
              </w:rPr>
            </w:pPr>
            <w:r>
              <w:rPr>
                <w:rFonts w:cs="Times New Roman"/>
                <w:sz w:val="21"/>
                <w:szCs w:val="21"/>
              </w:rPr>
              <w:t>2024.06.13</w:t>
            </w:r>
          </w:p>
        </w:tc>
        <w:tc>
          <w:tcPr>
            <w:tcW w:w="1098" w:type="dxa"/>
            <w:tcBorders>
              <w:tl2br w:val="nil"/>
              <w:tr2bl w:val="nil"/>
            </w:tcBorders>
            <w:vAlign w:val="center"/>
          </w:tcPr>
          <w:p>
            <w:pPr>
              <w:adjustRightInd w:val="0"/>
              <w:spacing w:line="360" w:lineRule="exact"/>
              <w:ind w:firstLine="0" w:firstLineChars="0"/>
              <w:jc w:val="center"/>
              <w:rPr>
                <w:rFonts w:cs="Times New Roman"/>
                <w:sz w:val="21"/>
                <w:szCs w:val="21"/>
              </w:rPr>
            </w:pPr>
            <w:r>
              <w:rPr>
                <w:rFonts w:cs="Times New Roman"/>
                <w:sz w:val="21"/>
                <w:szCs w:val="21"/>
              </w:rPr>
              <w:t>晴</w:t>
            </w:r>
          </w:p>
        </w:tc>
        <w:tc>
          <w:tcPr>
            <w:tcW w:w="1292" w:type="dxa"/>
            <w:tcBorders>
              <w:tl2br w:val="nil"/>
              <w:tr2bl w:val="nil"/>
            </w:tcBorders>
            <w:vAlign w:val="center"/>
          </w:tcPr>
          <w:p>
            <w:pPr>
              <w:adjustRightInd w:val="0"/>
              <w:spacing w:line="360" w:lineRule="exact"/>
              <w:ind w:firstLine="0" w:firstLineChars="0"/>
              <w:jc w:val="center"/>
              <w:rPr>
                <w:rFonts w:cs="Times New Roman"/>
                <w:sz w:val="21"/>
                <w:szCs w:val="21"/>
              </w:rPr>
            </w:pPr>
            <w:r>
              <w:rPr>
                <w:rFonts w:cs="Times New Roman"/>
                <w:sz w:val="21"/>
                <w:szCs w:val="21"/>
              </w:rPr>
              <w:t>29.0</w:t>
            </w:r>
          </w:p>
        </w:tc>
        <w:tc>
          <w:tcPr>
            <w:tcW w:w="1386" w:type="dxa"/>
            <w:tcBorders>
              <w:tl2br w:val="nil"/>
              <w:tr2bl w:val="nil"/>
            </w:tcBorders>
            <w:vAlign w:val="center"/>
          </w:tcPr>
          <w:p>
            <w:pPr>
              <w:adjustRightInd w:val="0"/>
              <w:spacing w:line="360" w:lineRule="exact"/>
              <w:ind w:firstLine="0" w:firstLineChars="0"/>
              <w:jc w:val="center"/>
              <w:rPr>
                <w:rFonts w:cs="Times New Roman"/>
                <w:sz w:val="21"/>
                <w:szCs w:val="21"/>
              </w:rPr>
            </w:pPr>
            <w:r>
              <w:rPr>
                <w:rFonts w:cs="Times New Roman"/>
                <w:sz w:val="21"/>
                <w:szCs w:val="21"/>
              </w:rPr>
              <w:t>100.6</w:t>
            </w:r>
          </w:p>
        </w:tc>
        <w:tc>
          <w:tcPr>
            <w:tcW w:w="1159" w:type="dxa"/>
            <w:tcBorders>
              <w:tl2br w:val="nil"/>
              <w:tr2bl w:val="nil"/>
            </w:tcBorders>
            <w:vAlign w:val="center"/>
          </w:tcPr>
          <w:p>
            <w:pPr>
              <w:adjustRightInd w:val="0"/>
              <w:spacing w:line="360" w:lineRule="exact"/>
              <w:ind w:firstLine="0" w:firstLineChars="0"/>
              <w:jc w:val="center"/>
              <w:rPr>
                <w:rFonts w:cs="Times New Roman"/>
                <w:sz w:val="21"/>
                <w:szCs w:val="21"/>
              </w:rPr>
            </w:pPr>
            <w:r>
              <w:rPr>
                <w:rFonts w:cs="Times New Roman"/>
                <w:sz w:val="21"/>
                <w:szCs w:val="21"/>
              </w:rPr>
              <w:t>63</w:t>
            </w:r>
          </w:p>
        </w:tc>
        <w:tc>
          <w:tcPr>
            <w:tcW w:w="1203" w:type="dxa"/>
            <w:tcBorders>
              <w:tl2br w:val="nil"/>
              <w:tr2bl w:val="nil"/>
            </w:tcBorders>
            <w:vAlign w:val="center"/>
          </w:tcPr>
          <w:p>
            <w:pPr>
              <w:adjustRightInd w:val="0"/>
              <w:spacing w:line="360" w:lineRule="exact"/>
              <w:ind w:firstLine="0" w:firstLineChars="0"/>
              <w:jc w:val="center"/>
              <w:rPr>
                <w:rFonts w:cs="Times New Roman"/>
                <w:sz w:val="21"/>
                <w:szCs w:val="21"/>
              </w:rPr>
            </w:pPr>
            <w:r>
              <w:rPr>
                <w:rFonts w:cs="Times New Roman"/>
                <w:sz w:val="21"/>
                <w:szCs w:val="21"/>
              </w:rPr>
              <w:t>0.9</w:t>
            </w:r>
          </w:p>
        </w:tc>
        <w:tc>
          <w:tcPr>
            <w:tcW w:w="999" w:type="dxa"/>
            <w:tcBorders>
              <w:tl2br w:val="nil"/>
              <w:tr2bl w:val="nil"/>
            </w:tcBorders>
            <w:vAlign w:val="center"/>
          </w:tcPr>
          <w:p>
            <w:pPr>
              <w:adjustRightInd w:val="0"/>
              <w:spacing w:line="360" w:lineRule="exact"/>
              <w:ind w:firstLine="0" w:firstLineChars="0"/>
              <w:jc w:val="center"/>
              <w:rPr>
                <w:rFonts w:cs="Times New Roman"/>
                <w:sz w:val="21"/>
                <w:szCs w:val="21"/>
              </w:rPr>
            </w:pPr>
            <w:r>
              <w:rPr>
                <w:rFonts w:cs="Times New Roman"/>
                <w:sz w:val="21"/>
                <w:szCs w:val="21"/>
              </w:rPr>
              <w:t>东南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3" w:hRule="atLeast"/>
        </w:trPr>
        <w:tc>
          <w:tcPr>
            <w:tcW w:w="1385" w:type="dxa"/>
            <w:tcBorders>
              <w:tl2br w:val="nil"/>
              <w:tr2bl w:val="nil"/>
            </w:tcBorders>
            <w:vAlign w:val="center"/>
          </w:tcPr>
          <w:p>
            <w:pPr>
              <w:tabs>
                <w:tab w:val="left" w:pos="255"/>
                <w:tab w:val="center" w:pos="624"/>
              </w:tabs>
              <w:adjustRightInd w:val="0"/>
              <w:spacing w:line="300" w:lineRule="exact"/>
              <w:ind w:firstLine="0" w:firstLineChars="0"/>
              <w:jc w:val="center"/>
              <w:rPr>
                <w:rFonts w:cs="Times New Roman"/>
                <w:sz w:val="21"/>
                <w:szCs w:val="21"/>
              </w:rPr>
            </w:pPr>
            <w:r>
              <w:rPr>
                <w:rFonts w:cs="Times New Roman"/>
                <w:sz w:val="21"/>
                <w:szCs w:val="21"/>
              </w:rPr>
              <w:t>2024.06.14</w:t>
            </w:r>
          </w:p>
        </w:tc>
        <w:tc>
          <w:tcPr>
            <w:tcW w:w="1098" w:type="dxa"/>
            <w:tcBorders>
              <w:tl2br w:val="nil"/>
              <w:tr2bl w:val="nil"/>
            </w:tcBorders>
            <w:vAlign w:val="center"/>
          </w:tcPr>
          <w:p>
            <w:pPr>
              <w:adjustRightInd w:val="0"/>
              <w:spacing w:line="300" w:lineRule="exact"/>
              <w:ind w:firstLine="0" w:firstLineChars="0"/>
              <w:jc w:val="center"/>
              <w:rPr>
                <w:rFonts w:cs="Times New Roman"/>
                <w:sz w:val="21"/>
                <w:szCs w:val="21"/>
              </w:rPr>
            </w:pPr>
            <w:r>
              <w:rPr>
                <w:rFonts w:cs="Times New Roman"/>
                <w:sz w:val="21"/>
                <w:szCs w:val="21"/>
              </w:rPr>
              <w:t>晴</w:t>
            </w:r>
          </w:p>
        </w:tc>
        <w:tc>
          <w:tcPr>
            <w:tcW w:w="1292" w:type="dxa"/>
            <w:tcBorders>
              <w:tl2br w:val="nil"/>
              <w:tr2bl w:val="nil"/>
            </w:tcBorders>
            <w:vAlign w:val="center"/>
          </w:tcPr>
          <w:p>
            <w:pPr>
              <w:adjustRightInd w:val="0"/>
              <w:spacing w:line="300" w:lineRule="exact"/>
              <w:ind w:firstLine="0" w:firstLineChars="0"/>
              <w:jc w:val="center"/>
              <w:rPr>
                <w:rFonts w:cs="Times New Roman"/>
                <w:sz w:val="21"/>
                <w:szCs w:val="21"/>
              </w:rPr>
            </w:pPr>
            <w:r>
              <w:rPr>
                <w:rFonts w:cs="Times New Roman"/>
                <w:sz w:val="21"/>
                <w:szCs w:val="21"/>
              </w:rPr>
              <w:t>28.4</w:t>
            </w:r>
          </w:p>
        </w:tc>
        <w:tc>
          <w:tcPr>
            <w:tcW w:w="1386" w:type="dxa"/>
            <w:tcBorders>
              <w:tl2br w:val="nil"/>
              <w:tr2bl w:val="nil"/>
            </w:tcBorders>
            <w:vAlign w:val="center"/>
          </w:tcPr>
          <w:p>
            <w:pPr>
              <w:adjustRightInd w:val="0"/>
              <w:spacing w:line="300" w:lineRule="exact"/>
              <w:ind w:firstLine="0" w:firstLineChars="0"/>
              <w:jc w:val="center"/>
              <w:rPr>
                <w:rFonts w:cs="Times New Roman"/>
                <w:sz w:val="21"/>
                <w:szCs w:val="21"/>
              </w:rPr>
            </w:pPr>
            <w:r>
              <w:rPr>
                <w:rFonts w:cs="Times New Roman"/>
                <w:sz w:val="21"/>
                <w:szCs w:val="21"/>
              </w:rPr>
              <w:t>100.5</w:t>
            </w:r>
          </w:p>
        </w:tc>
        <w:tc>
          <w:tcPr>
            <w:tcW w:w="1159" w:type="dxa"/>
            <w:tcBorders>
              <w:tl2br w:val="nil"/>
              <w:tr2bl w:val="nil"/>
            </w:tcBorders>
            <w:vAlign w:val="center"/>
          </w:tcPr>
          <w:p>
            <w:pPr>
              <w:adjustRightInd w:val="0"/>
              <w:spacing w:line="300" w:lineRule="exact"/>
              <w:ind w:firstLine="0" w:firstLineChars="0"/>
              <w:jc w:val="center"/>
              <w:rPr>
                <w:rFonts w:cs="Times New Roman"/>
                <w:sz w:val="21"/>
                <w:szCs w:val="21"/>
              </w:rPr>
            </w:pPr>
            <w:r>
              <w:rPr>
                <w:rFonts w:cs="Times New Roman"/>
                <w:sz w:val="21"/>
                <w:szCs w:val="21"/>
              </w:rPr>
              <w:t>60</w:t>
            </w:r>
          </w:p>
        </w:tc>
        <w:tc>
          <w:tcPr>
            <w:tcW w:w="1203" w:type="dxa"/>
            <w:tcBorders>
              <w:tl2br w:val="nil"/>
              <w:tr2bl w:val="nil"/>
            </w:tcBorders>
            <w:vAlign w:val="center"/>
          </w:tcPr>
          <w:p>
            <w:pPr>
              <w:adjustRightInd w:val="0"/>
              <w:spacing w:line="300" w:lineRule="exact"/>
              <w:ind w:firstLine="0" w:firstLineChars="0"/>
              <w:jc w:val="center"/>
              <w:rPr>
                <w:rFonts w:cs="Times New Roman"/>
                <w:sz w:val="21"/>
                <w:szCs w:val="21"/>
              </w:rPr>
            </w:pPr>
            <w:r>
              <w:rPr>
                <w:rFonts w:cs="Times New Roman"/>
                <w:sz w:val="21"/>
                <w:szCs w:val="21"/>
              </w:rPr>
              <w:t>0.9</w:t>
            </w:r>
          </w:p>
        </w:tc>
        <w:tc>
          <w:tcPr>
            <w:tcW w:w="999" w:type="dxa"/>
            <w:tcBorders>
              <w:tl2br w:val="nil"/>
              <w:tr2bl w:val="nil"/>
            </w:tcBorders>
            <w:vAlign w:val="center"/>
          </w:tcPr>
          <w:p>
            <w:pPr>
              <w:adjustRightInd w:val="0"/>
              <w:spacing w:line="300" w:lineRule="exact"/>
              <w:ind w:firstLine="0" w:firstLineChars="0"/>
              <w:jc w:val="center"/>
              <w:rPr>
                <w:rFonts w:cs="Times New Roman"/>
                <w:sz w:val="21"/>
                <w:szCs w:val="21"/>
              </w:rPr>
            </w:pPr>
            <w:r>
              <w:rPr>
                <w:rFonts w:cs="Times New Roman"/>
                <w:sz w:val="21"/>
                <w:szCs w:val="21"/>
              </w:rPr>
              <w:t>东南</w:t>
            </w:r>
          </w:p>
        </w:tc>
      </w:tr>
    </w:tbl>
    <w:p>
      <w:pPr>
        <w:ind w:firstLine="480"/>
      </w:pPr>
      <w:r>
        <w:rPr>
          <w:rFonts w:hint="eastAsia"/>
        </w:rPr>
        <w:t>从上表的监测结果表明：本项目站界无组织废气非甲烷总烃排放浓度范围为：1.95~3.15mg/m</w:t>
      </w:r>
      <w:r>
        <w:rPr>
          <w:rFonts w:hint="eastAsia"/>
          <w:vertAlign w:val="superscript"/>
        </w:rPr>
        <w:t>3</w:t>
      </w:r>
      <w:r>
        <w:rPr>
          <w:rFonts w:hint="eastAsia"/>
        </w:rPr>
        <w:t>，符合《加油站大气污染物排放标准》（GB 20952-2020）表3油气浓度无组织排放限值要求；站内无组织废气非甲烷总烃排放浓度范围为：2.07~2.48mg/m</w:t>
      </w:r>
      <w:r>
        <w:rPr>
          <w:rFonts w:hint="eastAsia"/>
          <w:vertAlign w:val="superscript"/>
        </w:rPr>
        <w:t>3</w:t>
      </w:r>
      <w:r>
        <w:rPr>
          <w:rFonts w:hint="eastAsia"/>
        </w:rPr>
        <w:t>，符合《挥发性有机物无组织排放控制标准》（GB 37822-2019）表 A.1 厂区内 VOCs 无组织特别排放限值（监控点处1h平均浓度值）。</w:t>
      </w:r>
    </w:p>
    <w:p>
      <w:pPr>
        <w:pStyle w:val="4"/>
      </w:pPr>
      <w:bookmarkStart w:id="93" w:name="_Toc156491679"/>
      <w:bookmarkStart w:id="94" w:name="_Toc164292302"/>
      <w:bookmarkStart w:id="95" w:name="_Toc20671"/>
      <w:r>
        <w:rPr>
          <w:rFonts w:hint="eastAsia"/>
        </w:rPr>
        <w:t>噪声</w:t>
      </w:r>
      <w:bookmarkEnd w:id="93"/>
      <w:bookmarkEnd w:id="94"/>
      <w:bookmarkEnd w:id="95"/>
    </w:p>
    <w:p>
      <w:pPr>
        <w:ind w:firstLine="480"/>
      </w:pPr>
      <w:r>
        <w:rPr>
          <w:rFonts w:hint="eastAsia"/>
        </w:rPr>
        <w:t>本项目厂界噪声监测结果见下表。</w:t>
      </w:r>
    </w:p>
    <w:p>
      <w:pPr>
        <w:pStyle w:val="35"/>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9.2</w:t>
      </w:r>
      <w:r>
        <w:fldChar w:fldCharType="end"/>
      </w:r>
      <w:r>
        <w:noBreakHyphen/>
      </w:r>
      <w:r>
        <w:t xml:space="preserve">5 </w:t>
      </w:r>
      <w:r>
        <w:rPr>
          <w:rFonts w:hint="eastAsia"/>
        </w:rPr>
        <w:t xml:space="preserve">噪声检测结果 </w:t>
      </w:r>
      <w:r>
        <w:t xml:space="preserve"> </w:t>
      </w:r>
      <w:r>
        <w:rPr>
          <w:rFonts w:hint="eastAsia"/>
        </w:rPr>
        <w:t>单位：dB(A)</w:t>
      </w:r>
    </w:p>
    <w:tbl>
      <w:tblPr>
        <w:tblStyle w:val="22"/>
        <w:tblpPr w:leftFromText="180" w:rightFromText="180" w:vertAnchor="text" w:horzAnchor="page" w:tblpXSpec="center" w:tblpY="196"/>
        <w:tblOverlap w:val="never"/>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7"/>
        <w:gridCol w:w="2587"/>
        <w:gridCol w:w="1127"/>
        <w:gridCol w:w="833"/>
        <w:gridCol w:w="833"/>
        <w:gridCol w:w="900"/>
        <w:gridCol w:w="8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0" w:hRule="atLeast"/>
        </w:trPr>
        <w:tc>
          <w:tcPr>
            <w:tcW w:w="1377" w:type="dxa"/>
            <w:vMerge w:val="restart"/>
            <w:tcBorders>
              <w:left w:val="single" w:color="auto" w:sz="2" w:space="0"/>
            </w:tcBorders>
            <w:vAlign w:val="center"/>
          </w:tcPr>
          <w:p>
            <w:pPr>
              <w:tabs>
                <w:tab w:val="center" w:pos="523"/>
              </w:tabs>
              <w:ind w:right="-130" w:rightChars="-54" w:firstLine="0" w:firstLineChars="0"/>
              <w:jc w:val="center"/>
              <w:rPr>
                <w:rFonts w:cs="Times New Roman"/>
                <w:sz w:val="21"/>
                <w:szCs w:val="21"/>
              </w:rPr>
            </w:pPr>
            <w:r>
              <w:rPr>
                <w:rFonts w:cs="Times New Roman"/>
                <w:b/>
                <w:bCs/>
                <w:color w:val="000000"/>
                <w:kern w:val="0"/>
                <w:sz w:val="21"/>
                <w:szCs w:val="21"/>
                <w:lang w:bidi="ar"/>
              </w:rPr>
              <w:t>检测日期</w:t>
            </w:r>
          </w:p>
        </w:tc>
        <w:tc>
          <w:tcPr>
            <w:tcW w:w="2587" w:type="dxa"/>
            <w:vMerge w:val="restart"/>
            <w:tcBorders>
              <w:left w:val="single" w:color="auto" w:sz="2" w:space="0"/>
            </w:tcBorders>
            <w:vAlign w:val="center"/>
          </w:tcPr>
          <w:p>
            <w:pPr>
              <w:ind w:left="-125" w:leftChars="-52" w:right="-130" w:rightChars="-54" w:firstLine="0" w:firstLineChars="0"/>
              <w:jc w:val="center"/>
              <w:rPr>
                <w:rFonts w:cs="Times New Roman"/>
                <w:sz w:val="21"/>
                <w:szCs w:val="21"/>
              </w:rPr>
            </w:pPr>
            <w:r>
              <w:rPr>
                <w:rFonts w:cs="Times New Roman"/>
                <w:b/>
                <w:bCs/>
                <w:color w:val="000000"/>
                <w:kern w:val="0"/>
                <w:sz w:val="21"/>
                <w:szCs w:val="21"/>
                <w:lang w:bidi="ar"/>
              </w:rPr>
              <w:t>检测点位</w:t>
            </w:r>
          </w:p>
        </w:tc>
        <w:tc>
          <w:tcPr>
            <w:tcW w:w="1127" w:type="dxa"/>
            <w:vMerge w:val="restart"/>
            <w:tcBorders>
              <w:left w:val="single" w:color="auto" w:sz="4" w:space="0"/>
            </w:tcBorders>
            <w:vAlign w:val="center"/>
          </w:tcPr>
          <w:p>
            <w:pPr>
              <w:ind w:left="-125" w:leftChars="-52" w:right="-130" w:rightChars="-54" w:firstLine="0" w:firstLineChars="0"/>
              <w:jc w:val="center"/>
              <w:rPr>
                <w:rFonts w:cs="Times New Roman"/>
                <w:b/>
                <w:bCs/>
                <w:color w:val="000000"/>
                <w:kern w:val="0"/>
                <w:sz w:val="21"/>
                <w:szCs w:val="21"/>
                <w:lang w:bidi="ar"/>
              </w:rPr>
            </w:pPr>
            <w:r>
              <w:rPr>
                <w:rFonts w:cs="Times New Roman"/>
                <w:b/>
                <w:bCs/>
                <w:color w:val="000000"/>
                <w:kern w:val="0"/>
                <w:sz w:val="21"/>
                <w:szCs w:val="21"/>
                <w:lang w:bidi="ar"/>
              </w:rPr>
              <w:t>主要声源</w:t>
            </w:r>
          </w:p>
        </w:tc>
        <w:tc>
          <w:tcPr>
            <w:tcW w:w="3431" w:type="dxa"/>
            <w:gridSpan w:val="4"/>
            <w:tcBorders>
              <w:left w:val="single" w:color="auto" w:sz="2" w:space="0"/>
            </w:tcBorders>
            <w:vAlign w:val="center"/>
          </w:tcPr>
          <w:p>
            <w:pPr>
              <w:widowControl/>
              <w:spacing w:line="240" w:lineRule="auto"/>
              <w:ind w:firstLine="0" w:firstLineChars="0"/>
              <w:jc w:val="center"/>
              <w:textAlignment w:val="center"/>
              <w:rPr>
                <w:rFonts w:cs="Times New Roman"/>
                <w:sz w:val="21"/>
                <w:szCs w:val="21"/>
              </w:rPr>
            </w:pPr>
            <w:r>
              <w:rPr>
                <w:rFonts w:cs="Times New Roman"/>
                <w:b/>
                <w:bCs/>
                <w:color w:val="000000"/>
                <w:kern w:val="0"/>
                <w:sz w:val="21"/>
                <w:szCs w:val="21"/>
                <w:lang w:bidi="ar"/>
              </w:rPr>
              <w:t>Leq值[dB(A)]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0" w:hRule="atLeast"/>
        </w:trPr>
        <w:tc>
          <w:tcPr>
            <w:tcW w:w="1377" w:type="dxa"/>
            <w:vMerge w:val="continue"/>
            <w:tcBorders>
              <w:left w:val="single" w:color="auto" w:sz="2" w:space="0"/>
            </w:tcBorders>
            <w:vAlign w:val="center"/>
          </w:tcPr>
          <w:p>
            <w:pPr>
              <w:spacing w:line="400" w:lineRule="exact"/>
              <w:ind w:left="-125" w:leftChars="-52" w:right="-130" w:rightChars="-54" w:firstLine="0" w:firstLineChars="0"/>
              <w:jc w:val="center"/>
              <w:rPr>
                <w:rFonts w:cs="Times New Roman"/>
                <w:sz w:val="21"/>
                <w:szCs w:val="21"/>
              </w:rPr>
            </w:pPr>
          </w:p>
        </w:tc>
        <w:tc>
          <w:tcPr>
            <w:tcW w:w="2587" w:type="dxa"/>
            <w:vMerge w:val="continue"/>
            <w:tcBorders>
              <w:left w:val="single" w:color="auto" w:sz="2" w:space="0"/>
            </w:tcBorders>
            <w:vAlign w:val="center"/>
          </w:tcPr>
          <w:p>
            <w:pPr>
              <w:spacing w:line="400" w:lineRule="exact"/>
              <w:ind w:left="-125" w:leftChars="-52" w:right="-130" w:rightChars="-54" w:firstLine="0" w:firstLineChars="0"/>
              <w:jc w:val="center"/>
              <w:rPr>
                <w:rFonts w:cs="Times New Roman"/>
                <w:sz w:val="21"/>
                <w:szCs w:val="21"/>
              </w:rPr>
            </w:pPr>
          </w:p>
        </w:tc>
        <w:tc>
          <w:tcPr>
            <w:tcW w:w="1127" w:type="dxa"/>
            <w:vMerge w:val="continue"/>
            <w:tcBorders>
              <w:left w:val="single" w:color="auto" w:sz="4" w:space="0"/>
            </w:tcBorders>
            <w:vAlign w:val="center"/>
          </w:tcPr>
          <w:p>
            <w:pPr>
              <w:spacing w:line="400" w:lineRule="exact"/>
              <w:ind w:left="-125" w:leftChars="-52" w:right="-130" w:rightChars="-54" w:firstLine="0" w:firstLineChars="0"/>
              <w:jc w:val="center"/>
              <w:rPr>
                <w:rFonts w:cs="Times New Roman"/>
                <w:sz w:val="21"/>
                <w:szCs w:val="21"/>
              </w:rPr>
            </w:pPr>
          </w:p>
        </w:tc>
        <w:tc>
          <w:tcPr>
            <w:tcW w:w="1666" w:type="dxa"/>
            <w:gridSpan w:val="2"/>
            <w:tcBorders>
              <w:left w:val="single" w:color="auto" w:sz="2" w:space="0"/>
            </w:tcBorders>
            <w:vAlign w:val="center"/>
          </w:tcPr>
          <w:p>
            <w:pPr>
              <w:widowControl/>
              <w:spacing w:line="240" w:lineRule="auto"/>
              <w:ind w:firstLine="0" w:firstLineChars="0"/>
              <w:jc w:val="center"/>
              <w:textAlignment w:val="center"/>
              <w:rPr>
                <w:rFonts w:cs="Times New Roman"/>
                <w:sz w:val="21"/>
                <w:szCs w:val="21"/>
              </w:rPr>
            </w:pPr>
            <w:r>
              <w:rPr>
                <w:rFonts w:cs="Times New Roman"/>
                <w:b/>
                <w:bCs/>
                <w:color w:val="000000"/>
                <w:kern w:val="0"/>
                <w:sz w:val="21"/>
                <w:szCs w:val="21"/>
                <w:lang w:bidi="ar"/>
              </w:rPr>
              <w:t>检测结果</w:t>
            </w:r>
          </w:p>
        </w:tc>
        <w:tc>
          <w:tcPr>
            <w:tcW w:w="1765" w:type="dxa"/>
            <w:gridSpan w:val="2"/>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b/>
                <w:bCs/>
                <w:color w:val="000000"/>
                <w:kern w:val="0"/>
                <w:sz w:val="21"/>
                <w:szCs w:val="21"/>
                <w:lang w:bidi="ar"/>
              </w:rPr>
              <w:t>标准限值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0" w:hRule="atLeast"/>
        </w:trPr>
        <w:tc>
          <w:tcPr>
            <w:tcW w:w="1377" w:type="dxa"/>
            <w:vMerge w:val="continue"/>
            <w:tcBorders>
              <w:left w:val="single" w:color="auto" w:sz="2" w:space="0"/>
            </w:tcBorders>
            <w:vAlign w:val="center"/>
          </w:tcPr>
          <w:p>
            <w:pPr>
              <w:spacing w:line="400" w:lineRule="exact"/>
              <w:ind w:left="-125" w:leftChars="-52" w:right="-130" w:rightChars="-54" w:firstLine="0" w:firstLineChars="0"/>
              <w:jc w:val="center"/>
              <w:rPr>
                <w:rFonts w:cs="Times New Roman"/>
                <w:sz w:val="21"/>
                <w:szCs w:val="21"/>
              </w:rPr>
            </w:pPr>
          </w:p>
        </w:tc>
        <w:tc>
          <w:tcPr>
            <w:tcW w:w="2587" w:type="dxa"/>
            <w:vMerge w:val="continue"/>
            <w:tcBorders>
              <w:left w:val="single" w:color="auto" w:sz="2" w:space="0"/>
            </w:tcBorders>
            <w:vAlign w:val="center"/>
          </w:tcPr>
          <w:p>
            <w:pPr>
              <w:spacing w:line="400" w:lineRule="exact"/>
              <w:ind w:left="-125" w:leftChars="-52" w:right="-130" w:rightChars="-54" w:firstLine="0" w:firstLineChars="0"/>
              <w:jc w:val="center"/>
              <w:rPr>
                <w:rFonts w:cs="Times New Roman"/>
                <w:sz w:val="21"/>
                <w:szCs w:val="21"/>
              </w:rPr>
            </w:pPr>
          </w:p>
        </w:tc>
        <w:tc>
          <w:tcPr>
            <w:tcW w:w="1127" w:type="dxa"/>
            <w:vMerge w:val="continue"/>
            <w:tcBorders>
              <w:left w:val="single" w:color="auto" w:sz="4" w:space="0"/>
            </w:tcBorders>
            <w:vAlign w:val="center"/>
          </w:tcPr>
          <w:p>
            <w:pPr>
              <w:spacing w:line="400" w:lineRule="exact"/>
              <w:ind w:left="-125" w:leftChars="-52" w:right="-130" w:rightChars="-54" w:firstLine="0" w:firstLineChars="0"/>
              <w:jc w:val="center"/>
              <w:rPr>
                <w:rFonts w:cs="Times New Roman"/>
                <w:sz w:val="21"/>
                <w:szCs w:val="21"/>
              </w:rPr>
            </w:pPr>
          </w:p>
        </w:tc>
        <w:tc>
          <w:tcPr>
            <w:tcW w:w="833" w:type="dxa"/>
            <w:tcBorders>
              <w:left w:val="single" w:color="auto" w:sz="2" w:space="0"/>
            </w:tcBorders>
            <w:vAlign w:val="center"/>
          </w:tcPr>
          <w:p>
            <w:pPr>
              <w:spacing w:line="240" w:lineRule="auto"/>
              <w:ind w:firstLine="0" w:firstLineChars="0"/>
              <w:jc w:val="center"/>
              <w:rPr>
                <w:rFonts w:cs="Times New Roman"/>
                <w:sz w:val="21"/>
                <w:szCs w:val="21"/>
              </w:rPr>
            </w:pPr>
            <w:r>
              <w:rPr>
                <w:rFonts w:cs="Times New Roman"/>
                <w:b/>
                <w:bCs/>
                <w:color w:val="000000"/>
                <w:kern w:val="0"/>
                <w:sz w:val="21"/>
                <w:szCs w:val="21"/>
                <w:lang w:bidi="ar"/>
              </w:rPr>
              <w:t>昼间</w:t>
            </w:r>
          </w:p>
        </w:tc>
        <w:tc>
          <w:tcPr>
            <w:tcW w:w="833" w:type="dxa"/>
            <w:tcBorders>
              <w:left w:val="single" w:color="auto" w:sz="4" w:space="0"/>
            </w:tcBorders>
            <w:vAlign w:val="center"/>
          </w:tcPr>
          <w:p>
            <w:pPr>
              <w:spacing w:line="240" w:lineRule="auto"/>
              <w:ind w:firstLine="0" w:firstLineChars="0"/>
              <w:jc w:val="center"/>
              <w:rPr>
                <w:rFonts w:cs="Times New Roman"/>
                <w:b/>
                <w:bCs/>
                <w:color w:val="000000"/>
                <w:kern w:val="0"/>
                <w:sz w:val="21"/>
                <w:szCs w:val="21"/>
                <w:lang w:bidi="ar"/>
              </w:rPr>
            </w:pPr>
            <w:r>
              <w:rPr>
                <w:rFonts w:cs="Times New Roman"/>
                <w:b/>
                <w:bCs/>
                <w:color w:val="000000"/>
                <w:kern w:val="0"/>
                <w:sz w:val="21"/>
                <w:szCs w:val="21"/>
                <w:lang w:bidi="ar"/>
              </w:rPr>
              <w:t>夜间</w:t>
            </w:r>
          </w:p>
        </w:tc>
        <w:tc>
          <w:tcPr>
            <w:tcW w:w="900" w:type="dxa"/>
            <w:tcBorders>
              <w:left w:val="single" w:color="auto" w:sz="4" w:space="0"/>
            </w:tcBorders>
            <w:vAlign w:val="center"/>
          </w:tcPr>
          <w:p>
            <w:pPr>
              <w:spacing w:line="240" w:lineRule="auto"/>
              <w:ind w:firstLine="0" w:firstLineChars="0"/>
              <w:jc w:val="center"/>
              <w:rPr>
                <w:rFonts w:cs="Times New Roman"/>
                <w:sz w:val="21"/>
                <w:szCs w:val="21"/>
              </w:rPr>
            </w:pPr>
            <w:r>
              <w:rPr>
                <w:rFonts w:cs="Times New Roman"/>
                <w:b/>
                <w:bCs/>
                <w:color w:val="000000"/>
                <w:kern w:val="0"/>
                <w:sz w:val="21"/>
                <w:szCs w:val="21"/>
                <w:lang w:bidi="ar"/>
              </w:rPr>
              <w:t>昼间</w:t>
            </w:r>
          </w:p>
        </w:tc>
        <w:tc>
          <w:tcPr>
            <w:tcW w:w="865" w:type="dxa"/>
            <w:tcBorders>
              <w:left w:val="single" w:color="auto" w:sz="4" w:space="0"/>
            </w:tcBorders>
            <w:vAlign w:val="center"/>
          </w:tcPr>
          <w:p>
            <w:pPr>
              <w:spacing w:line="240" w:lineRule="auto"/>
              <w:ind w:firstLine="0" w:firstLineChars="0"/>
              <w:jc w:val="center"/>
              <w:rPr>
                <w:rFonts w:cs="Times New Roman"/>
                <w:b/>
                <w:bCs/>
                <w:color w:val="000000"/>
                <w:kern w:val="0"/>
                <w:sz w:val="21"/>
                <w:szCs w:val="21"/>
                <w:lang w:bidi="ar"/>
              </w:rPr>
            </w:pPr>
            <w:r>
              <w:rPr>
                <w:rFonts w:cs="Times New Roman"/>
                <w:b/>
                <w:bCs/>
                <w:color w:val="000000"/>
                <w:kern w:val="0"/>
                <w:sz w:val="21"/>
                <w:szCs w:val="21"/>
                <w:lang w:bidi="ar"/>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9" w:hRule="atLeast"/>
        </w:trPr>
        <w:tc>
          <w:tcPr>
            <w:tcW w:w="1377" w:type="dxa"/>
            <w:vMerge w:val="restart"/>
            <w:tcBorders>
              <w:left w:val="single" w:color="auto" w:sz="2" w:space="0"/>
            </w:tcBorders>
            <w:vAlign w:val="center"/>
          </w:tcPr>
          <w:p>
            <w:pPr>
              <w:widowControl/>
              <w:spacing w:line="240" w:lineRule="auto"/>
              <w:ind w:firstLine="0" w:firstLineChars="0"/>
              <w:jc w:val="center"/>
              <w:rPr>
                <w:rFonts w:cs="Times New Roman"/>
                <w:kern w:val="0"/>
                <w:sz w:val="21"/>
                <w:szCs w:val="21"/>
              </w:rPr>
            </w:pPr>
            <w:r>
              <w:rPr>
                <w:rFonts w:cs="Times New Roman"/>
                <w:sz w:val="21"/>
                <w:szCs w:val="21"/>
              </w:rPr>
              <w:t>2024.06.13</w:t>
            </w:r>
          </w:p>
        </w:tc>
        <w:tc>
          <w:tcPr>
            <w:tcW w:w="2587" w:type="dxa"/>
            <w:tcBorders>
              <w:left w:val="single" w:color="auto" w:sz="2" w:space="0"/>
            </w:tcBorders>
            <w:vAlign w:val="center"/>
          </w:tcPr>
          <w:p>
            <w:pPr>
              <w:spacing w:line="240" w:lineRule="auto"/>
              <w:ind w:firstLine="0" w:firstLineChars="0"/>
              <w:jc w:val="center"/>
              <w:rPr>
                <w:rFonts w:cs="Times New Roman"/>
                <w:bCs/>
                <w:color w:val="000000"/>
                <w:sz w:val="21"/>
                <w:szCs w:val="21"/>
              </w:rPr>
            </w:pPr>
            <w:r>
              <w:rPr>
                <w:rFonts w:cs="Times New Roman"/>
                <w:sz w:val="21"/>
                <w:szCs w:val="21"/>
              </w:rPr>
              <w:t>项目</w:t>
            </w:r>
            <w:r>
              <w:rPr>
                <w:rFonts w:cs="Times New Roman"/>
                <w:bCs/>
                <w:color w:val="000000"/>
                <w:sz w:val="21"/>
                <w:szCs w:val="21"/>
              </w:rPr>
              <w:t>东面外1m处</w:t>
            </w:r>
            <w:r>
              <w:rPr>
                <w:rFonts w:ascii="Cambria Math" w:hAnsi="Cambria Math" w:cs="Cambria Math"/>
                <w:bCs/>
                <w:color w:val="000000"/>
                <w:sz w:val="21"/>
                <w:szCs w:val="21"/>
              </w:rPr>
              <w:t>△</w:t>
            </w:r>
            <w:r>
              <w:rPr>
                <w:rFonts w:cs="Times New Roman"/>
                <w:bCs/>
                <w:color w:val="000000"/>
                <w:sz w:val="21"/>
                <w:szCs w:val="21"/>
              </w:rPr>
              <w:t>N</w:t>
            </w:r>
            <w:r>
              <w:rPr>
                <w:rFonts w:cs="Times New Roman"/>
                <w:sz w:val="21"/>
                <w:szCs w:val="21"/>
              </w:rPr>
              <w:t>1</w:t>
            </w:r>
          </w:p>
        </w:tc>
        <w:tc>
          <w:tcPr>
            <w:tcW w:w="1127" w:type="dxa"/>
            <w:tcBorders>
              <w:left w:val="single" w:color="auto" w:sz="4" w:space="0"/>
            </w:tcBorders>
            <w:vAlign w:val="center"/>
          </w:tcPr>
          <w:p>
            <w:pPr>
              <w:spacing w:line="240" w:lineRule="auto"/>
              <w:ind w:firstLine="0" w:firstLineChars="0"/>
              <w:jc w:val="center"/>
              <w:rPr>
                <w:rFonts w:cs="Times New Roman"/>
                <w:bCs/>
                <w:color w:val="000000"/>
                <w:sz w:val="21"/>
                <w:szCs w:val="21"/>
              </w:rPr>
            </w:pPr>
            <w:r>
              <w:rPr>
                <w:rFonts w:cs="Times New Roman"/>
                <w:bCs/>
                <w:color w:val="000000"/>
                <w:sz w:val="21"/>
                <w:szCs w:val="21"/>
              </w:rPr>
              <w:t>道路</w:t>
            </w:r>
          </w:p>
        </w:tc>
        <w:tc>
          <w:tcPr>
            <w:tcW w:w="833" w:type="dxa"/>
            <w:tcBorders>
              <w:left w:val="single" w:color="auto" w:sz="2" w:space="0"/>
            </w:tcBorders>
            <w:vAlign w:val="center"/>
          </w:tcPr>
          <w:p>
            <w:pPr>
              <w:spacing w:line="240" w:lineRule="auto"/>
              <w:ind w:firstLine="0" w:firstLineChars="0"/>
              <w:jc w:val="center"/>
              <w:rPr>
                <w:rFonts w:cs="Times New Roman"/>
                <w:sz w:val="21"/>
                <w:szCs w:val="21"/>
              </w:rPr>
            </w:pPr>
            <w:r>
              <w:rPr>
                <w:rFonts w:cs="Times New Roman"/>
                <w:sz w:val="21"/>
                <w:szCs w:val="21"/>
              </w:rPr>
              <w:t>55.2</w:t>
            </w:r>
          </w:p>
        </w:tc>
        <w:tc>
          <w:tcPr>
            <w:tcW w:w="833" w:type="dxa"/>
            <w:tcBorders>
              <w:left w:val="single" w:color="auto" w:sz="4" w:space="0"/>
            </w:tcBorders>
            <w:vAlign w:val="center"/>
          </w:tcPr>
          <w:p>
            <w:pPr>
              <w:spacing w:line="240" w:lineRule="auto"/>
              <w:ind w:firstLine="0" w:firstLineChars="0"/>
              <w:jc w:val="center"/>
              <w:rPr>
                <w:rFonts w:cs="Times New Roman"/>
                <w:sz w:val="21"/>
                <w:szCs w:val="21"/>
              </w:rPr>
            </w:pPr>
            <w:r>
              <w:rPr>
                <w:rFonts w:cs="Times New Roman"/>
                <w:sz w:val="21"/>
                <w:szCs w:val="21"/>
              </w:rPr>
              <w:t>43.0</w:t>
            </w:r>
          </w:p>
        </w:tc>
        <w:tc>
          <w:tcPr>
            <w:tcW w:w="900"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60</w:t>
            </w:r>
          </w:p>
        </w:tc>
        <w:tc>
          <w:tcPr>
            <w:tcW w:w="865"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9" w:hRule="atLeast"/>
        </w:trPr>
        <w:tc>
          <w:tcPr>
            <w:tcW w:w="1377" w:type="dxa"/>
            <w:vMerge w:val="continue"/>
            <w:tcBorders>
              <w:left w:val="single" w:color="auto" w:sz="2" w:space="0"/>
            </w:tcBorders>
            <w:vAlign w:val="center"/>
          </w:tcPr>
          <w:p>
            <w:pPr>
              <w:spacing w:line="240" w:lineRule="auto"/>
              <w:ind w:firstLine="0" w:firstLineChars="0"/>
              <w:jc w:val="center"/>
              <w:rPr>
                <w:rFonts w:cs="Times New Roman"/>
                <w:sz w:val="21"/>
                <w:szCs w:val="21"/>
              </w:rPr>
            </w:pPr>
          </w:p>
        </w:tc>
        <w:tc>
          <w:tcPr>
            <w:tcW w:w="2587" w:type="dxa"/>
            <w:tcBorders>
              <w:left w:val="single" w:color="auto" w:sz="2" w:space="0"/>
            </w:tcBorders>
            <w:vAlign w:val="center"/>
          </w:tcPr>
          <w:p>
            <w:pPr>
              <w:spacing w:line="240" w:lineRule="auto"/>
              <w:ind w:firstLine="0" w:firstLineChars="0"/>
              <w:jc w:val="center"/>
              <w:rPr>
                <w:rFonts w:cs="Times New Roman"/>
                <w:bCs/>
                <w:color w:val="000000"/>
                <w:sz w:val="21"/>
                <w:szCs w:val="21"/>
              </w:rPr>
            </w:pPr>
            <w:r>
              <w:rPr>
                <w:rFonts w:cs="Times New Roman"/>
                <w:sz w:val="21"/>
                <w:szCs w:val="21"/>
              </w:rPr>
              <w:t>项目</w:t>
            </w:r>
            <w:r>
              <w:rPr>
                <w:rFonts w:cs="Times New Roman"/>
                <w:bCs/>
                <w:color w:val="000000"/>
                <w:sz w:val="21"/>
                <w:szCs w:val="21"/>
              </w:rPr>
              <w:t>南面外1m处</w:t>
            </w:r>
            <w:r>
              <w:rPr>
                <w:rFonts w:ascii="Cambria Math" w:hAnsi="Cambria Math" w:cs="Cambria Math"/>
                <w:bCs/>
                <w:color w:val="000000"/>
                <w:sz w:val="21"/>
                <w:szCs w:val="21"/>
              </w:rPr>
              <w:t>△</w:t>
            </w:r>
            <w:r>
              <w:rPr>
                <w:rFonts w:cs="Times New Roman"/>
                <w:bCs/>
                <w:color w:val="000000"/>
                <w:sz w:val="21"/>
                <w:szCs w:val="21"/>
              </w:rPr>
              <w:t>N</w:t>
            </w:r>
            <w:r>
              <w:rPr>
                <w:rFonts w:cs="Times New Roman"/>
                <w:sz w:val="21"/>
                <w:szCs w:val="21"/>
              </w:rPr>
              <w:t>2</w:t>
            </w:r>
          </w:p>
        </w:tc>
        <w:tc>
          <w:tcPr>
            <w:tcW w:w="1127" w:type="dxa"/>
            <w:tcBorders>
              <w:left w:val="single" w:color="auto" w:sz="4" w:space="0"/>
            </w:tcBorders>
            <w:vAlign w:val="center"/>
          </w:tcPr>
          <w:p>
            <w:pPr>
              <w:spacing w:line="240" w:lineRule="auto"/>
              <w:ind w:firstLine="0" w:firstLineChars="0"/>
              <w:jc w:val="center"/>
              <w:rPr>
                <w:rFonts w:cs="Times New Roman"/>
                <w:bCs/>
                <w:color w:val="000000"/>
                <w:sz w:val="21"/>
                <w:szCs w:val="21"/>
              </w:rPr>
            </w:pPr>
            <w:r>
              <w:rPr>
                <w:rFonts w:cs="Times New Roman"/>
                <w:bCs/>
                <w:color w:val="000000"/>
                <w:sz w:val="21"/>
                <w:szCs w:val="21"/>
              </w:rPr>
              <w:t>经营</w:t>
            </w:r>
          </w:p>
        </w:tc>
        <w:tc>
          <w:tcPr>
            <w:tcW w:w="833" w:type="dxa"/>
            <w:tcBorders>
              <w:left w:val="single" w:color="auto" w:sz="2" w:space="0"/>
            </w:tcBorders>
            <w:vAlign w:val="center"/>
          </w:tcPr>
          <w:p>
            <w:pPr>
              <w:spacing w:line="240" w:lineRule="auto"/>
              <w:ind w:firstLine="0" w:firstLineChars="0"/>
              <w:jc w:val="center"/>
              <w:rPr>
                <w:rFonts w:cs="Times New Roman"/>
                <w:sz w:val="21"/>
                <w:szCs w:val="21"/>
              </w:rPr>
            </w:pPr>
            <w:r>
              <w:rPr>
                <w:rFonts w:cs="Times New Roman"/>
                <w:sz w:val="21"/>
                <w:szCs w:val="21"/>
              </w:rPr>
              <w:t>54.7</w:t>
            </w:r>
          </w:p>
        </w:tc>
        <w:tc>
          <w:tcPr>
            <w:tcW w:w="833" w:type="dxa"/>
            <w:tcBorders>
              <w:left w:val="single" w:color="auto" w:sz="4" w:space="0"/>
            </w:tcBorders>
            <w:vAlign w:val="center"/>
          </w:tcPr>
          <w:p>
            <w:pPr>
              <w:spacing w:line="240" w:lineRule="auto"/>
              <w:ind w:firstLine="0" w:firstLineChars="0"/>
              <w:jc w:val="center"/>
              <w:rPr>
                <w:rFonts w:cs="Times New Roman"/>
                <w:sz w:val="21"/>
                <w:szCs w:val="21"/>
              </w:rPr>
            </w:pPr>
            <w:r>
              <w:rPr>
                <w:rFonts w:cs="Times New Roman"/>
                <w:sz w:val="21"/>
                <w:szCs w:val="21"/>
              </w:rPr>
              <w:t>42.7</w:t>
            </w:r>
          </w:p>
        </w:tc>
        <w:tc>
          <w:tcPr>
            <w:tcW w:w="900"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60</w:t>
            </w:r>
          </w:p>
        </w:tc>
        <w:tc>
          <w:tcPr>
            <w:tcW w:w="865"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9" w:hRule="atLeast"/>
        </w:trPr>
        <w:tc>
          <w:tcPr>
            <w:tcW w:w="1377" w:type="dxa"/>
            <w:vMerge w:val="continue"/>
            <w:tcBorders>
              <w:left w:val="single" w:color="auto" w:sz="2" w:space="0"/>
            </w:tcBorders>
            <w:vAlign w:val="center"/>
          </w:tcPr>
          <w:p>
            <w:pPr>
              <w:spacing w:line="240" w:lineRule="auto"/>
              <w:ind w:firstLine="0" w:firstLineChars="0"/>
              <w:jc w:val="center"/>
              <w:rPr>
                <w:rFonts w:cs="Times New Roman"/>
                <w:sz w:val="21"/>
                <w:szCs w:val="21"/>
              </w:rPr>
            </w:pPr>
          </w:p>
        </w:tc>
        <w:tc>
          <w:tcPr>
            <w:tcW w:w="2587" w:type="dxa"/>
            <w:tcBorders>
              <w:left w:val="single" w:color="auto" w:sz="2" w:space="0"/>
            </w:tcBorders>
            <w:vAlign w:val="center"/>
          </w:tcPr>
          <w:p>
            <w:pPr>
              <w:spacing w:line="240" w:lineRule="auto"/>
              <w:ind w:firstLine="0" w:firstLineChars="0"/>
              <w:jc w:val="center"/>
              <w:rPr>
                <w:rFonts w:cs="Times New Roman"/>
                <w:bCs/>
                <w:color w:val="000000"/>
                <w:sz w:val="21"/>
                <w:szCs w:val="21"/>
              </w:rPr>
            </w:pPr>
            <w:r>
              <w:rPr>
                <w:rFonts w:cs="Times New Roman"/>
                <w:sz w:val="21"/>
                <w:szCs w:val="21"/>
              </w:rPr>
              <w:t>项目</w:t>
            </w:r>
            <w:r>
              <w:rPr>
                <w:rFonts w:cs="Times New Roman"/>
                <w:bCs/>
                <w:color w:val="000000"/>
                <w:sz w:val="21"/>
                <w:szCs w:val="21"/>
              </w:rPr>
              <w:t>西面外1m处</w:t>
            </w:r>
            <w:r>
              <w:rPr>
                <w:rFonts w:ascii="Cambria Math" w:hAnsi="Cambria Math" w:cs="Cambria Math"/>
                <w:bCs/>
                <w:color w:val="000000"/>
                <w:sz w:val="21"/>
                <w:szCs w:val="21"/>
              </w:rPr>
              <w:t>△</w:t>
            </w:r>
            <w:r>
              <w:rPr>
                <w:rFonts w:cs="Times New Roman"/>
                <w:bCs/>
                <w:color w:val="000000"/>
                <w:sz w:val="21"/>
                <w:szCs w:val="21"/>
              </w:rPr>
              <w:t>N</w:t>
            </w:r>
            <w:r>
              <w:rPr>
                <w:rFonts w:cs="Times New Roman"/>
                <w:sz w:val="21"/>
                <w:szCs w:val="21"/>
              </w:rPr>
              <w:t>3</w:t>
            </w:r>
          </w:p>
        </w:tc>
        <w:tc>
          <w:tcPr>
            <w:tcW w:w="1127" w:type="dxa"/>
            <w:tcBorders>
              <w:left w:val="single" w:color="auto" w:sz="4" w:space="0"/>
            </w:tcBorders>
            <w:vAlign w:val="center"/>
          </w:tcPr>
          <w:p>
            <w:pPr>
              <w:spacing w:line="240" w:lineRule="auto"/>
              <w:ind w:firstLine="0" w:firstLineChars="0"/>
              <w:jc w:val="center"/>
              <w:rPr>
                <w:rFonts w:cs="Times New Roman"/>
                <w:bCs/>
                <w:color w:val="000000"/>
                <w:sz w:val="21"/>
                <w:szCs w:val="21"/>
              </w:rPr>
            </w:pPr>
            <w:r>
              <w:rPr>
                <w:rFonts w:cs="Times New Roman"/>
                <w:bCs/>
                <w:color w:val="000000"/>
                <w:sz w:val="21"/>
                <w:szCs w:val="21"/>
              </w:rPr>
              <w:t>经营</w:t>
            </w:r>
          </w:p>
        </w:tc>
        <w:tc>
          <w:tcPr>
            <w:tcW w:w="833" w:type="dxa"/>
            <w:tcBorders>
              <w:left w:val="single" w:color="auto" w:sz="2" w:space="0"/>
            </w:tcBorders>
            <w:vAlign w:val="center"/>
          </w:tcPr>
          <w:p>
            <w:pPr>
              <w:spacing w:line="240" w:lineRule="auto"/>
              <w:ind w:firstLine="0" w:firstLineChars="0"/>
              <w:jc w:val="center"/>
              <w:rPr>
                <w:rFonts w:cs="Times New Roman"/>
                <w:sz w:val="21"/>
                <w:szCs w:val="21"/>
              </w:rPr>
            </w:pPr>
            <w:r>
              <w:rPr>
                <w:rFonts w:cs="Times New Roman"/>
                <w:sz w:val="21"/>
                <w:szCs w:val="21"/>
              </w:rPr>
              <w:t>54.3</w:t>
            </w:r>
          </w:p>
        </w:tc>
        <w:tc>
          <w:tcPr>
            <w:tcW w:w="833" w:type="dxa"/>
            <w:tcBorders>
              <w:left w:val="single" w:color="auto" w:sz="4" w:space="0"/>
            </w:tcBorders>
            <w:vAlign w:val="center"/>
          </w:tcPr>
          <w:p>
            <w:pPr>
              <w:spacing w:line="240" w:lineRule="auto"/>
              <w:ind w:firstLine="0" w:firstLineChars="0"/>
              <w:jc w:val="center"/>
              <w:rPr>
                <w:rFonts w:cs="Times New Roman"/>
                <w:sz w:val="21"/>
                <w:szCs w:val="21"/>
              </w:rPr>
            </w:pPr>
            <w:r>
              <w:rPr>
                <w:rFonts w:cs="Times New Roman"/>
                <w:sz w:val="21"/>
                <w:szCs w:val="21"/>
              </w:rPr>
              <w:t>42.5</w:t>
            </w:r>
          </w:p>
        </w:tc>
        <w:tc>
          <w:tcPr>
            <w:tcW w:w="900"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60</w:t>
            </w:r>
          </w:p>
        </w:tc>
        <w:tc>
          <w:tcPr>
            <w:tcW w:w="865"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9" w:hRule="atLeast"/>
        </w:trPr>
        <w:tc>
          <w:tcPr>
            <w:tcW w:w="1377" w:type="dxa"/>
            <w:vMerge w:val="continue"/>
            <w:tcBorders>
              <w:left w:val="single" w:color="auto" w:sz="2" w:space="0"/>
            </w:tcBorders>
            <w:vAlign w:val="center"/>
          </w:tcPr>
          <w:p>
            <w:pPr>
              <w:spacing w:line="240" w:lineRule="auto"/>
              <w:ind w:firstLine="0" w:firstLineChars="0"/>
              <w:jc w:val="center"/>
              <w:rPr>
                <w:rFonts w:cs="Times New Roman"/>
                <w:sz w:val="21"/>
                <w:szCs w:val="21"/>
              </w:rPr>
            </w:pPr>
          </w:p>
        </w:tc>
        <w:tc>
          <w:tcPr>
            <w:tcW w:w="2587" w:type="dxa"/>
            <w:tcBorders>
              <w:left w:val="single" w:color="auto" w:sz="2" w:space="0"/>
            </w:tcBorders>
            <w:vAlign w:val="center"/>
          </w:tcPr>
          <w:p>
            <w:pPr>
              <w:spacing w:line="240" w:lineRule="auto"/>
              <w:ind w:firstLine="0" w:firstLineChars="0"/>
              <w:jc w:val="center"/>
              <w:rPr>
                <w:rFonts w:cs="Times New Roman"/>
                <w:bCs/>
                <w:color w:val="000000"/>
                <w:sz w:val="21"/>
                <w:szCs w:val="21"/>
              </w:rPr>
            </w:pPr>
            <w:r>
              <w:rPr>
                <w:rFonts w:cs="Times New Roman"/>
                <w:sz w:val="21"/>
                <w:szCs w:val="21"/>
              </w:rPr>
              <w:t>项目</w:t>
            </w:r>
            <w:r>
              <w:rPr>
                <w:rFonts w:cs="Times New Roman"/>
                <w:bCs/>
                <w:color w:val="000000"/>
                <w:sz w:val="21"/>
                <w:szCs w:val="21"/>
              </w:rPr>
              <w:t>北面外1m处</w:t>
            </w:r>
            <w:r>
              <w:rPr>
                <w:rFonts w:ascii="Cambria Math" w:hAnsi="Cambria Math" w:cs="Cambria Math"/>
                <w:bCs/>
                <w:color w:val="000000"/>
                <w:sz w:val="21"/>
                <w:szCs w:val="21"/>
              </w:rPr>
              <w:t>△</w:t>
            </w:r>
            <w:r>
              <w:rPr>
                <w:rFonts w:cs="Times New Roman"/>
                <w:bCs/>
                <w:color w:val="000000"/>
                <w:sz w:val="21"/>
                <w:szCs w:val="21"/>
              </w:rPr>
              <w:t>N</w:t>
            </w:r>
            <w:r>
              <w:rPr>
                <w:rFonts w:cs="Times New Roman"/>
                <w:sz w:val="21"/>
                <w:szCs w:val="21"/>
              </w:rPr>
              <w:t>4</w:t>
            </w:r>
          </w:p>
        </w:tc>
        <w:tc>
          <w:tcPr>
            <w:tcW w:w="1127" w:type="dxa"/>
            <w:tcBorders>
              <w:left w:val="single" w:color="auto" w:sz="4" w:space="0"/>
            </w:tcBorders>
            <w:vAlign w:val="center"/>
          </w:tcPr>
          <w:p>
            <w:pPr>
              <w:spacing w:line="240" w:lineRule="auto"/>
              <w:ind w:firstLine="0" w:firstLineChars="0"/>
              <w:jc w:val="center"/>
              <w:rPr>
                <w:rFonts w:cs="Times New Roman"/>
                <w:bCs/>
                <w:color w:val="000000"/>
                <w:sz w:val="21"/>
                <w:szCs w:val="21"/>
              </w:rPr>
            </w:pPr>
            <w:r>
              <w:rPr>
                <w:rFonts w:cs="Times New Roman"/>
                <w:bCs/>
                <w:color w:val="000000"/>
                <w:sz w:val="21"/>
                <w:szCs w:val="21"/>
              </w:rPr>
              <w:t>道路</w:t>
            </w:r>
          </w:p>
        </w:tc>
        <w:tc>
          <w:tcPr>
            <w:tcW w:w="833" w:type="dxa"/>
            <w:tcBorders>
              <w:left w:val="single" w:color="auto" w:sz="2" w:space="0"/>
            </w:tcBorders>
            <w:vAlign w:val="center"/>
          </w:tcPr>
          <w:p>
            <w:pPr>
              <w:spacing w:line="240" w:lineRule="auto"/>
              <w:ind w:firstLine="0" w:firstLineChars="0"/>
              <w:jc w:val="center"/>
              <w:rPr>
                <w:rFonts w:cs="Times New Roman"/>
                <w:sz w:val="21"/>
                <w:szCs w:val="21"/>
              </w:rPr>
            </w:pPr>
            <w:r>
              <w:rPr>
                <w:rFonts w:cs="Times New Roman"/>
                <w:sz w:val="21"/>
                <w:szCs w:val="21"/>
              </w:rPr>
              <w:t>56.9</w:t>
            </w:r>
          </w:p>
        </w:tc>
        <w:tc>
          <w:tcPr>
            <w:tcW w:w="833" w:type="dxa"/>
            <w:tcBorders>
              <w:left w:val="single" w:color="auto" w:sz="4" w:space="0"/>
            </w:tcBorders>
            <w:vAlign w:val="center"/>
          </w:tcPr>
          <w:p>
            <w:pPr>
              <w:spacing w:line="240" w:lineRule="auto"/>
              <w:ind w:firstLine="0" w:firstLineChars="0"/>
              <w:jc w:val="center"/>
              <w:rPr>
                <w:rFonts w:cs="Times New Roman"/>
                <w:sz w:val="21"/>
                <w:szCs w:val="21"/>
              </w:rPr>
            </w:pPr>
            <w:r>
              <w:rPr>
                <w:rFonts w:cs="Times New Roman"/>
                <w:sz w:val="21"/>
                <w:szCs w:val="21"/>
              </w:rPr>
              <w:t>44.2</w:t>
            </w:r>
          </w:p>
        </w:tc>
        <w:tc>
          <w:tcPr>
            <w:tcW w:w="900"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70</w:t>
            </w:r>
          </w:p>
        </w:tc>
        <w:tc>
          <w:tcPr>
            <w:tcW w:w="865"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trPr>
        <w:tc>
          <w:tcPr>
            <w:tcW w:w="1377" w:type="dxa"/>
            <w:vMerge w:val="continue"/>
            <w:tcBorders>
              <w:left w:val="single" w:color="auto" w:sz="2" w:space="0"/>
            </w:tcBorders>
            <w:vAlign w:val="center"/>
          </w:tcPr>
          <w:p>
            <w:pPr>
              <w:spacing w:line="240" w:lineRule="auto"/>
              <w:ind w:firstLine="0" w:firstLineChars="0"/>
              <w:jc w:val="center"/>
              <w:rPr>
                <w:rFonts w:cs="Times New Roman"/>
                <w:sz w:val="21"/>
                <w:szCs w:val="21"/>
              </w:rPr>
            </w:pPr>
          </w:p>
        </w:tc>
        <w:tc>
          <w:tcPr>
            <w:tcW w:w="2587" w:type="dxa"/>
            <w:tcBorders>
              <w:left w:val="single" w:color="auto" w:sz="2" w:space="0"/>
            </w:tcBorders>
            <w:vAlign w:val="center"/>
          </w:tcPr>
          <w:p>
            <w:pPr>
              <w:spacing w:line="240" w:lineRule="auto"/>
              <w:ind w:firstLine="0" w:firstLineChars="0"/>
              <w:jc w:val="center"/>
              <w:rPr>
                <w:rFonts w:cs="Times New Roman"/>
                <w:bCs/>
                <w:color w:val="000000"/>
                <w:sz w:val="21"/>
                <w:szCs w:val="21"/>
              </w:rPr>
            </w:pPr>
            <w:r>
              <w:rPr>
                <w:rFonts w:cs="Times New Roman"/>
                <w:sz w:val="21"/>
                <w:szCs w:val="21"/>
              </w:rPr>
              <w:t>中梁公园壹号</w:t>
            </w:r>
            <w:r>
              <w:rPr>
                <w:rFonts w:ascii="Cambria Math" w:hAnsi="Cambria Math" w:cs="Cambria Math"/>
                <w:bCs/>
                <w:color w:val="000000"/>
                <w:sz w:val="21"/>
                <w:szCs w:val="21"/>
              </w:rPr>
              <w:t>△</w:t>
            </w:r>
            <w:r>
              <w:rPr>
                <w:rFonts w:cs="Times New Roman"/>
                <w:bCs/>
                <w:color w:val="000000"/>
                <w:sz w:val="21"/>
                <w:szCs w:val="21"/>
              </w:rPr>
              <w:t>N5</w:t>
            </w:r>
          </w:p>
        </w:tc>
        <w:tc>
          <w:tcPr>
            <w:tcW w:w="1127" w:type="dxa"/>
            <w:tcBorders>
              <w:left w:val="single" w:color="auto" w:sz="4" w:space="0"/>
            </w:tcBorders>
            <w:vAlign w:val="center"/>
          </w:tcPr>
          <w:p>
            <w:pPr>
              <w:spacing w:line="240" w:lineRule="auto"/>
              <w:ind w:firstLine="0" w:firstLineChars="0"/>
              <w:jc w:val="center"/>
              <w:rPr>
                <w:rFonts w:cs="Times New Roman"/>
                <w:bCs/>
                <w:color w:val="000000"/>
                <w:sz w:val="21"/>
                <w:szCs w:val="21"/>
              </w:rPr>
            </w:pPr>
            <w:r>
              <w:rPr>
                <w:rFonts w:cs="Times New Roman"/>
                <w:bCs/>
                <w:color w:val="000000"/>
                <w:sz w:val="21"/>
                <w:szCs w:val="21"/>
              </w:rPr>
              <w:t>生活</w:t>
            </w:r>
          </w:p>
        </w:tc>
        <w:tc>
          <w:tcPr>
            <w:tcW w:w="833" w:type="dxa"/>
            <w:tcBorders>
              <w:left w:val="single" w:color="auto" w:sz="2" w:space="0"/>
            </w:tcBorders>
            <w:vAlign w:val="center"/>
          </w:tcPr>
          <w:p>
            <w:pPr>
              <w:spacing w:line="240" w:lineRule="auto"/>
              <w:ind w:firstLine="0" w:firstLineChars="0"/>
              <w:jc w:val="center"/>
              <w:rPr>
                <w:rFonts w:cs="Times New Roman"/>
                <w:sz w:val="21"/>
                <w:szCs w:val="21"/>
              </w:rPr>
            </w:pPr>
            <w:r>
              <w:rPr>
                <w:rFonts w:cs="Times New Roman"/>
                <w:sz w:val="21"/>
                <w:szCs w:val="21"/>
              </w:rPr>
              <w:t>55.0</w:t>
            </w:r>
          </w:p>
        </w:tc>
        <w:tc>
          <w:tcPr>
            <w:tcW w:w="833" w:type="dxa"/>
            <w:tcBorders>
              <w:left w:val="single" w:color="auto" w:sz="4" w:space="0"/>
            </w:tcBorders>
            <w:vAlign w:val="center"/>
          </w:tcPr>
          <w:p>
            <w:pPr>
              <w:spacing w:line="240" w:lineRule="auto"/>
              <w:ind w:firstLine="0" w:firstLineChars="0"/>
              <w:jc w:val="center"/>
              <w:rPr>
                <w:rFonts w:cs="Times New Roman"/>
                <w:sz w:val="21"/>
                <w:szCs w:val="21"/>
              </w:rPr>
            </w:pPr>
            <w:r>
              <w:rPr>
                <w:rFonts w:cs="Times New Roman"/>
                <w:sz w:val="21"/>
                <w:szCs w:val="21"/>
              </w:rPr>
              <w:t>42.2</w:t>
            </w:r>
          </w:p>
        </w:tc>
        <w:tc>
          <w:tcPr>
            <w:tcW w:w="900"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60</w:t>
            </w:r>
          </w:p>
        </w:tc>
        <w:tc>
          <w:tcPr>
            <w:tcW w:w="865"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3" w:hRule="atLeast"/>
        </w:trPr>
        <w:tc>
          <w:tcPr>
            <w:tcW w:w="1377" w:type="dxa"/>
            <w:vMerge w:val="restart"/>
            <w:tcBorders>
              <w:left w:val="single" w:color="auto" w:sz="2" w:space="0"/>
            </w:tcBorders>
            <w:vAlign w:val="center"/>
          </w:tcPr>
          <w:p>
            <w:pPr>
              <w:spacing w:line="240" w:lineRule="auto"/>
              <w:ind w:firstLine="0" w:firstLineChars="0"/>
              <w:jc w:val="center"/>
              <w:rPr>
                <w:rFonts w:cs="Times New Roman"/>
                <w:sz w:val="21"/>
                <w:szCs w:val="21"/>
              </w:rPr>
            </w:pPr>
            <w:r>
              <w:rPr>
                <w:rFonts w:cs="Times New Roman"/>
                <w:sz w:val="21"/>
                <w:szCs w:val="21"/>
              </w:rPr>
              <w:t>2024.06.14</w:t>
            </w:r>
          </w:p>
        </w:tc>
        <w:tc>
          <w:tcPr>
            <w:tcW w:w="2587" w:type="dxa"/>
            <w:tcBorders>
              <w:left w:val="single" w:color="auto" w:sz="2" w:space="0"/>
            </w:tcBorders>
            <w:vAlign w:val="center"/>
          </w:tcPr>
          <w:p>
            <w:pPr>
              <w:spacing w:line="240" w:lineRule="auto"/>
              <w:ind w:firstLine="0" w:firstLineChars="0"/>
              <w:jc w:val="center"/>
              <w:rPr>
                <w:rFonts w:cs="Times New Roman"/>
                <w:bCs/>
                <w:color w:val="000000"/>
                <w:sz w:val="21"/>
                <w:szCs w:val="21"/>
              </w:rPr>
            </w:pPr>
            <w:r>
              <w:rPr>
                <w:rFonts w:cs="Times New Roman"/>
                <w:sz w:val="21"/>
                <w:szCs w:val="21"/>
              </w:rPr>
              <w:t>项目</w:t>
            </w:r>
            <w:r>
              <w:rPr>
                <w:rFonts w:cs="Times New Roman"/>
                <w:bCs/>
                <w:color w:val="000000"/>
                <w:sz w:val="21"/>
                <w:szCs w:val="21"/>
              </w:rPr>
              <w:t>东面外1m处</w:t>
            </w:r>
            <w:r>
              <w:rPr>
                <w:rFonts w:ascii="Cambria Math" w:hAnsi="Cambria Math" w:cs="Cambria Math"/>
                <w:bCs/>
                <w:color w:val="000000"/>
                <w:sz w:val="21"/>
                <w:szCs w:val="21"/>
              </w:rPr>
              <w:t>△</w:t>
            </w:r>
            <w:r>
              <w:rPr>
                <w:rFonts w:cs="Times New Roman"/>
                <w:bCs/>
                <w:color w:val="000000"/>
                <w:sz w:val="21"/>
                <w:szCs w:val="21"/>
              </w:rPr>
              <w:t>N</w:t>
            </w:r>
            <w:r>
              <w:rPr>
                <w:rFonts w:cs="Times New Roman"/>
                <w:sz w:val="21"/>
                <w:szCs w:val="21"/>
              </w:rPr>
              <w:t>1</w:t>
            </w:r>
          </w:p>
        </w:tc>
        <w:tc>
          <w:tcPr>
            <w:tcW w:w="1127" w:type="dxa"/>
            <w:tcBorders>
              <w:left w:val="single" w:color="auto" w:sz="4" w:space="0"/>
            </w:tcBorders>
            <w:vAlign w:val="center"/>
          </w:tcPr>
          <w:p>
            <w:pPr>
              <w:spacing w:line="240" w:lineRule="auto"/>
              <w:ind w:firstLine="0" w:firstLineChars="0"/>
              <w:jc w:val="center"/>
              <w:rPr>
                <w:rFonts w:cs="Times New Roman"/>
                <w:bCs/>
                <w:color w:val="000000"/>
                <w:sz w:val="21"/>
                <w:szCs w:val="21"/>
              </w:rPr>
            </w:pPr>
            <w:r>
              <w:rPr>
                <w:rFonts w:cs="Times New Roman"/>
                <w:bCs/>
                <w:color w:val="000000"/>
                <w:sz w:val="21"/>
                <w:szCs w:val="21"/>
              </w:rPr>
              <w:t>道路</w:t>
            </w:r>
          </w:p>
        </w:tc>
        <w:tc>
          <w:tcPr>
            <w:tcW w:w="833" w:type="dxa"/>
            <w:tcBorders>
              <w:left w:val="single" w:color="auto" w:sz="2" w:space="0"/>
            </w:tcBorders>
            <w:vAlign w:val="center"/>
          </w:tcPr>
          <w:p>
            <w:pPr>
              <w:spacing w:line="240" w:lineRule="auto"/>
              <w:ind w:firstLine="0" w:firstLineChars="0"/>
              <w:jc w:val="center"/>
              <w:rPr>
                <w:rFonts w:cs="Times New Roman"/>
                <w:sz w:val="21"/>
                <w:szCs w:val="21"/>
              </w:rPr>
            </w:pPr>
            <w:r>
              <w:rPr>
                <w:rFonts w:cs="Times New Roman"/>
                <w:sz w:val="21"/>
                <w:szCs w:val="21"/>
              </w:rPr>
              <w:t>52.9</w:t>
            </w:r>
          </w:p>
        </w:tc>
        <w:tc>
          <w:tcPr>
            <w:tcW w:w="833" w:type="dxa"/>
            <w:tcBorders>
              <w:left w:val="single" w:color="auto" w:sz="4" w:space="0"/>
            </w:tcBorders>
            <w:vAlign w:val="center"/>
          </w:tcPr>
          <w:p>
            <w:pPr>
              <w:spacing w:line="240" w:lineRule="auto"/>
              <w:ind w:firstLine="0" w:firstLineChars="0"/>
              <w:jc w:val="center"/>
              <w:rPr>
                <w:rFonts w:cs="Times New Roman"/>
                <w:sz w:val="21"/>
                <w:szCs w:val="21"/>
              </w:rPr>
            </w:pPr>
            <w:r>
              <w:rPr>
                <w:rFonts w:cs="Times New Roman"/>
                <w:sz w:val="21"/>
                <w:szCs w:val="21"/>
              </w:rPr>
              <w:t>41.7</w:t>
            </w:r>
          </w:p>
        </w:tc>
        <w:tc>
          <w:tcPr>
            <w:tcW w:w="900"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60</w:t>
            </w:r>
          </w:p>
        </w:tc>
        <w:tc>
          <w:tcPr>
            <w:tcW w:w="865"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3" w:hRule="atLeast"/>
        </w:trPr>
        <w:tc>
          <w:tcPr>
            <w:tcW w:w="1377" w:type="dxa"/>
            <w:vMerge w:val="continue"/>
            <w:tcBorders>
              <w:left w:val="single" w:color="auto" w:sz="2" w:space="0"/>
            </w:tcBorders>
            <w:vAlign w:val="center"/>
          </w:tcPr>
          <w:p>
            <w:pPr>
              <w:spacing w:line="240" w:lineRule="auto"/>
              <w:ind w:firstLine="0" w:firstLineChars="0"/>
              <w:jc w:val="center"/>
              <w:rPr>
                <w:rFonts w:cs="Times New Roman"/>
                <w:sz w:val="21"/>
                <w:szCs w:val="21"/>
              </w:rPr>
            </w:pPr>
          </w:p>
        </w:tc>
        <w:tc>
          <w:tcPr>
            <w:tcW w:w="2587" w:type="dxa"/>
            <w:tcBorders>
              <w:left w:val="single" w:color="auto" w:sz="2" w:space="0"/>
            </w:tcBorders>
            <w:vAlign w:val="center"/>
          </w:tcPr>
          <w:p>
            <w:pPr>
              <w:spacing w:line="240" w:lineRule="auto"/>
              <w:ind w:firstLine="0" w:firstLineChars="0"/>
              <w:jc w:val="center"/>
              <w:rPr>
                <w:rFonts w:cs="Times New Roman"/>
                <w:bCs/>
                <w:color w:val="000000"/>
                <w:sz w:val="21"/>
                <w:szCs w:val="21"/>
              </w:rPr>
            </w:pPr>
            <w:r>
              <w:rPr>
                <w:rFonts w:cs="Times New Roman"/>
                <w:sz w:val="21"/>
                <w:szCs w:val="21"/>
              </w:rPr>
              <w:t>项目</w:t>
            </w:r>
            <w:r>
              <w:rPr>
                <w:rFonts w:cs="Times New Roman"/>
                <w:bCs/>
                <w:color w:val="000000"/>
                <w:sz w:val="21"/>
                <w:szCs w:val="21"/>
              </w:rPr>
              <w:t>南面外1m处</w:t>
            </w:r>
            <w:r>
              <w:rPr>
                <w:rFonts w:ascii="Cambria Math" w:hAnsi="Cambria Math" w:cs="Cambria Math"/>
                <w:bCs/>
                <w:color w:val="000000"/>
                <w:sz w:val="21"/>
                <w:szCs w:val="21"/>
              </w:rPr>
              <w:t>△</w:t>
            </w:r>
            <w:r>
              <w:rPr>
                <w:rFonts w:cs="Times New Roman"/>
                <w:bCs/>
                <w:color w:val="000000"/>
                <w:sz w:val="21"/>
                <w:szCs w:val="21"/>
              </w:rPr>
              <w:t>N</w:t>
            </w:r>
            <w:r>
              <w:rPr>
                <w:rFonts w:cs="Times New Roman"/>
                <w:sz w:val="21"/>
                <w:szCs w:val="21"/>
              </w:rPr>
              <w:t>2</w:t>
            </w:r>
          </w:p>
        </w:tc>
        <w:tc>
          <w:tcPr>
            <w:tcW w:w="1127" w:type="dxa"/>
            <w:tcBorders>
              <w:left w:val="single" w:color="auto" w:sz="4" w:space="0"/>
            </w:tcBorders>
            <w:vAlign w:val="center"/>
          </w:tcPr>
          <w:p>
            <w:pPr>
              <w:spacing w:line="240" w:lineRule="auto"/>
              <w:ind w:firstLine="0" w:firstLineChars="0"/>
              <w:jc w:val="center"/>
              <w:rPr>
                <w:rFonts w:cs="Times New Roman"/>
                <w:bCs/>
                <w:color w:val="000000"/>
                <w:sz w:val="21"/>
                <w:szCs w:val="21"/>
              </w:rPr>
            </w:pPr>
            <w:r>
              <w:rPr>
                <w:rFonts w:cs="Times New Roman"/>
                <w:bCs/>
                <w:color w:val="000000"/>
                <w:sz w:val="21"/>
                <w:szCs w:val="21"/>
              </w:rPr>
              <w:t>经营</w:t>
            </w:r>
          </w:p>
        </w:tc>
        <w:tc>
          <w:tcPr>
            <w:tcW w:w="833" w:type="dxa"/>
            <w:tcBorders>
              <w:left w:val="single" w:color="auto" w:sz="2" w:space="0"/>
            </w:tcBorders>
            <w:vAlign w:val="center"/>
          </w:tcPr>
          <w:p>
            <w:pPr>
              <w:spacing w:line="240" w:lineRule="auto"/>
              <w:ind w:firstLine="0" w:firstLineChars="0"/>
              <w:jc w:val="center"/>
              <w:rPr>
                <w:rFonts w:cs="Times New Roman"/>
                <w:sz w:val="21"/>
                <w:szCs w:val="21"/>
              </w:rPr>
            </w:pPr>
            <w:r>
              <w:rPr>
                <w:rFonts w:cs="Times New Roman"/>
                <w:sz w:val="21"/>
                <w:szCs w:val="21"/>
              </w:rPr>
              <w:t>52.1</w:t>
            </w:r>
          </w:p>
        </w:tc>
        <w:tc>
          <w:tcPr>
            <w:tcW w:w="833" w:type="dxa"/>
            <w:tcBorders>
              <w:left w:val="single" w:color="auto" w:sz="4" w:space="0"/>
            </w:tcBorders>
            <w:vAlign w:val="center"/>
          </w:tcPr>
          <w:p>
            <w:pPr>
              <w:spacing w:line="240" w:lineRule="auto"/>
              <w:ind w:firstLine="0" w:firstLineChars="0"/>
              <w:jc w:val="center"/>
              <w:rPr>
                <w:rFonts w:cs="Times New Roman"/>
                <w:sz w:val="21"/>
                <w:szCs w:val="21"/>
              </w:rPr>
            </w:pPr>
            <w:r>
              <w:rPr>
                <w:rFonts w:cs="Times New Roman"/>
                <w:sz w:val="21"/>
                <w:szCs w:val="21"/>
              </w:rPr>
              <w:t>41.5</w:t>
            </w:r>
          </w:p>
        </w:tc>
        <w:tc>
          <w:tcPr>
            <w:tcW w:w="900"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60</w:t>
            </w:r>
          </w:p>
        </w:tc>
        <w:tc>
          <w:tcPr>
            <w:tcW w:w="865"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3" w:hRule="atLeast"/>
        </w:trPr>
        <w:tc>
          <w:tcPr>
            <w:tcW w:w="1377" w:type="dxa"/>
            <w:vMerge w:val="continue"/>
            <w:tcBorders>
              <w:left w:val="single" w:color="auto" w:sz="2" w:space="0"/>
            </w:tcBorders>
            <w:vAlign w:val="center"/>
          </w:tcPr>
          <w:p>
            <w:pPr>
              <w:spacing w:line="240" w:lineRule="auto"/>
              <w:ind w:firstLine="0" w:firstLineChars="0"/>
              <w:jc w:val="center"/>
              <w:rPr>
                <w:rFonts w:cs="Times New Roman"/>
                <w:sz w:val="21"/>
                <w:szCs w:val="21"/>
              </w:rPr>
            </w:pPr>
          </w:p>
        </w:tc>
        <w:tc>
          <w:tcPr>
            <w:tcW w:w="2587" w:type="dxa"/>
            <w:tcBorders>
              <w:left w:val="single" w:color="auto" w:sz="2" w:space="0"/>
            </w:tcBorders>
            <w:vAlign w:val="center"/>
          </w:tcPr>
          <w:p>
            <w:pPr>
              <w:spacing w:line="240" w:lineRule="auto"/>
              <w:ind w:firstLine="0" w:firstLineChars="0"/>
              <w:jc w:val="center"/>
              <w:rPr>
                <w:rFonts w:cs="Times New Roman"/>
                <w:bCs/>
                <w:color w:val="000000"/>
                <w:sz w:val="21"/>
                <w:szCs w:val="21"/>
              </w:rPr>
            </w:pPr>
            <w:r>
              <w:rPr>
                <w:rFonts w:cs="Times New Roman"/>
                <w:sz w:val="21"/>
                <w:szCs w:val="21"/>
              </w:rPr>
              <w:t>项目</w:t>
            </w:r>
            <w:r>
              <w:rPr>
                <w:rFonts w:cs="Times New Roman"/>
                <w:bCs/>
                <w:color w:val="000000"/>
                <w:sz w:val="21"/>
                <w:szCs w:val="21"/>
              </w:rPr>
              <w:t>西面外1m处</w:t>
            </w:r>
            <w:r>
              <w:rPr>
                <w:rFonts w:ascii="Cambria Math" w:hAnsi="Cambria Math" w:cs="Cambria Math"/>
                <w:bCs/>
                <w:color w:val="000000"/>
                <w:sz w:val="21"/>
                <w:szCs w:val="21"/>
              </w:rPr>
              <w:t>△</w:t>
            </w:r>
            <w:r>
              <w:rPr>
                <w:rFonts w:cs="Times New Roman"/>
                <w:bCs/>
                <w:color w:val="000000"/>
                <w:sz w:val="21"/>
                <w:szCs w:val="21"/>
              </w:rPr>
              <w:t>N</w:t>
            </w:r>
            <w:r>
              <w:rPr>
                <w:rFonts w:cs="Times New Roman"/>
                <w:sz w:val="21"/>
                <w:szCs w:val="21"/>
              </w:rPr>
              <w:t>3</w:t>
            </w:r>
          </w:p>
        </w:tc>
        <w:tc>
          <w:tcPr>
            <w:tcW w:w="1127" w:type="dxa"/>
            <w:tcBorders>
              <w:left w:val="single" w:color="auto" w:sz="4" w:space="0"/>
            </w:tcBorders>
            <w:vAlign w:val="center"/>
          </w:tcPr>
          <w:p>
            <w:pPr>
              <w:spacing w:line="240" w:lineRule="auto"/>
              <w:ind w:firstLine="0" w:firstLineChars="0"/>
              <w:jc w:val="center"/>
              <w:rPr>
                <w:rFonts w:cs="Times New Roman"/>
                <w:bCs/>
                <w:color w:val="000000"/>
                <w:sz w:val="21"/>
                <w:szCs w:val="21"/>
              </w:rPr>
            </w:pPr>
            <w:r>
              <w:rPr>
                <w:rFonts w:cs="Times New Roman"/>
                <w:bCs/>
                <w:color w:val="000000"/>
                <w:sz w:val="21"/>
                <w:szCs w:val="21"/>
              </w:rPr>
              <w:t>经营</w:t>
            </w:r>
          </w:p>
        </w:tc>
        <w:tc>
          <w:tcPr>
            <w:tcW w:w="833" w:type="dxa"/>
            <w:tcBorders>
              <w:left w:val="single" w:color="auto" w:sz="2" w:space="0"/>
            </w:tcBorders>
            <w:vAlign w:val="center"/>
          </w:tcPr>
          <w:p>
            <w:pPr>
              <w:spacing w:line="240" w:lineRule="auto"/>
              <w:ind w:firstLine="0" w:firstLineChars="0"/>
              <w:jc w:val="center"/>
              <w:rPr>
                <w:rFonts w:cs="Times New Roman"/>
                <w:sz w:val="21"/>
                <w:szCs w:val="21"/>
              </w:rPr>
            </w:pPr>
            <w:r>
              <w:rPr>
                <w:rFonts w:cs="Times New Roman"/>
                <w:sz w:val="21"/>
                <w:szCs w:val="21"/>
              </w:rPr>
              <w:t>52.6</w:t>
            </w:r>
          </w:p>
        </w:tc>
        <w:tc>
          <w:tcPr>
            <w:tcW w:w="833" w:type="dxa"/>
            <w:tcBorders>
              <w:left w:val="single" w:color="auto" w:sz="4" w:space="0"/>
            </w:tcBorders>
            <w:vAlign w:val="center"/>
          </w:tcPr>
          <w:p>
            <w:pPr>
              <w:spacing w:line="240" w:lineRule="auto"/>
              <w:ind w:firstLine="0" w:firstLineChars="0"/>
              <w:jc w:val="center"/>
              <w:rPr>
                <w:rFonts w:cs="Times New Roman"/>
                <w:sz w:val="21"/>
                <w:szCs w:val="21"/>
              </w:rPr>
            </w:pPr>
            <w:r>
              <w:rPr>
                <w:rFonts w:cs="Times New Roman"/>
                <w:sz w:val="21"/>
                <w:szCs w:val="21"/>
              </w:rPr>
              <w:t>41.6</w:t>
            </w:r>
          </w:p>
        </w:tc>
        <w:tc>
          <w:tcPr>
            <w:tcW w:w="900"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60</w:t>
            </w:r>
          </w:p>
        </w:tc>
        <w:tc>
          <w:tcPr>
            <w:tcW w:w="865"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3" w:hRule="atLeast"/>
        </w:trPr>
        <w:tc>
          <w:tcPr>
            <w:tcW w:w="1377" w:type="dxa"/>
            <w:vMerge w:val="continue"/>
            <w:tcBorders>
              <w:left w:val="single" w:color="auto" w:sz="2" w:space="0"/>
            </w:tcBorders>
            <w:vAlign w:val="center"/>
          </w:tcPr>
          <w:p>
            <w:pPr>
              <w:spacing w:line="240" w:lineRule="auto"/>
              <w:ind w:firstLine="0" w:firstLineChars="0"/>
              <w:jc w:val="center"/>
              <w:rPr>
                <w:rFonts w:cs="Times New Roman"/>
                <w:sz w:val="21"/>
                <w:szCs w:val="21"/>
              </w:rPr>
            </w:pPr>
          </w:p>
        </w:tc>
        <w:tc>
          <w:tcPr>
            <w:tcW w:w="2587" w:type="dxa"/>
            <w:tcBorders>
              <w:left w:val="single" w:color="auto" w:sz="2" w:space="0"/>
            </w:tcBorders>
            <w:vAlign w:val="center"/>
          </w:tcPr>
          <w:p>
            <w:pPr>
              <w:spacing w:line="240" w:lineRule="auto"/>
              <w:ind w:firstLine="0" w:firstLineChars="0"/>
              <w:jc w:val="center"/>
              <w:rPr>
                <w:rFonts w:cs="Times New Roman"/>
                <w:bCs/>
                <w:color w:val="000000"/>
                <w:sz w:val="21"/>
                <w:szCs w:val="21"/>
              </w:rPr>
            </w:pPr>
            <w:r>
              <w:rPr>
                <w:rFonts w:cs="Times New Roman"/>
                <w:sz w:val="21"/>
                <w:szCs w:val="21"/>
              </w:rPr>
              <w:t>项目</w:t>
            </w:r>
            <w:r>
              <w:rPr>
                <w:rFonts w:cs="Times New Roman"/>
                <w:bCs/>
                <w:color w:val="000000"/>
                <w:sz w:val="21"/>
                <w:szCs w:val="21"/>
              </w:rPr>
              <w:t>北面外1m处</w:t>
            </w:r>
            <w:r>
              <w:rPr>
                <w:rFonts w:ascii="Cambria Math" w:hAnsi="Cambria Math" w:cs="Cambria Math"/>
                <w:bCs/>
                <w:color w:val="000000"/>
                <w:sz w:val="21"/>
                <w:szCs w:val="21"/>
              </w:rPr>
              <w:t>△</w:t>
            </w:r>
            <w:r>
              <w:rPr>
                <w:rFonts w:cs="Times New Roman"/>
                <w:bCs/>
                <w:color w:val="000000"/>
                <w:sz w:val="21"/>
                <w:szCs w:val="21"/>
              </w:rPr>
              <w:t>N</w:t>
            </w:r>
            <w:r>
              <w:rPr>
                <w:rFonts w:cs="Times New Roman"/>
                <w:sz w:val="21"/>
                <w:szCs w:val="21"/>
              </w:rPr>
              <w:t>4</w:t>
            </w:r>
          </w:p>
        </w:tc>
        <w:tc>
          <w:tcPr>
            <w:tcW w:w="1127" w:type="dxa"/>
            <w:tcBorders>
              <w:left w:val="single" w:color="auto" w:sz="4" w:space="0"/>
            </w:tcBorders>
            <w:vAlign w:val="center"/>
          </w:tcPr>
          <w:p>
            <w:pPr>
              <w:spacing w:line="240" w:lineRule="auto"/>
              <w:ind w:firstLine="0" w:firstLineChars="0"/>
              <w:jc w:val="center"/>
              <w:rPr>
                <w:rFonts w:cs="Times New Roman"/>
                <w:bCs/>
                <w:color w:val="000000"/>
                <w:sz w:val="21"/>
                <w:szCs w:val="21"/>
              </w:rPr>
            </w:pPr>
            <w:r>
              <w:rPr>
                <w:rFonts w:cs="Times New Roman"/>
                <w:bCs/>
                <w:color w:val="000000"/>
                <w:sz w:val="21"/>
                <w:szCs w:val="21"/>
              </w:rPr>
              <w:t>道路</w:t>
            </w:r>
          </w:p>
        </w:tc>
        <w:tc>
          <w:tcPr>
            <w:tcW w:w="833" w:type="dxa"/>
            <w:tcBorders>
              <w:left w:val="single" w:color="auto" w:sz="2" w:space="0"/>
            </w:tcBorders>
            <w:vAlign w:val="center"/>
          </w:tcPr>
          <w:p>
            <w:pPr>
              <w:spacing w:line="240" w:lineRule="auto"/>
              <w:ind w:firstLine="0" w:firstLineChars="0"/>
              <w:jc w:val="center"/>
              <w:rPr>
                <w:rFonts w:cs="Times New Roman"/>
                <w:sz w:val="21"/>
                <w:szCs w:val="21"/>
              </w:rPr>
            </w:pPr>
            <w:r>
              <w:rPr>
                <w:rFonts w:cs="Times New Roman"/>
                <w:sz w:val="21"/>
                <w:szCs w:val="21"/>
              </w:rPr>
              <w:t>57.6</w:t>
            </w:r>
          </w:p>
        </w:tc>
        <w:tc>
          <w:tcPr>
            <w:tcW w:w="833" w:type="dxa"/>
            <w:tcBorders>
              <w:left w:val="single" w:color="auto" w:sz="4" w:space="0"/>
            </w:tcBorders>
            <w:vAlign w:val="center"/>
          </w:tcPr>
          <w:p>
            <w:pPr>
              <w:spacing w:line="240" w:lineRule="auto"/>
              <w:ind w:firstLine="0" w:firstLineChars="0"/>
              <w:jc w:val="center"/>
              <w:rPr>
                <w:rFonts w:cs="Times New Roman"/>
                <w:sz w:val="21"/>
                <w:szCs w:val="21"/>
              </w:rPr>
            </w:pPr>
            <w:r>
              <w:rPr>
                <w:rFonts w:cs="Times New Roman"/>
                <w:sz w:val="21"/>
                <w:szCs w:val="21"/>
              </w:rPr>
              <w:t>45.0</w:t>
            </w:r>
          </w:p>
        </w:tc>
        <w:tc>
          <w:tcPr>
            <w:tcW w:w="900"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70</w:t>
            </w:r>
          </w:p>
        </w:tc>
        <w:tc>
          <w:tcPr>
            <w:tcW w:w="865"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trPr>
        <w:tc>
          <w:tcPr>
            <w:tcW w:w="1377" w:type="dxa"/>
            <w:vMerge w:val="continue"/>
            <w:tcBorders>
              <w:left w:val="single" w:color="auto" w:sz="2" w:space="0"/>
            </w:tcBorders>
            <w:vAlign w:val="center"/>
          </w:tcPr>
          <w:p>
            <w:pPr>
              <w:spacing w:line="240" w:lineRule="auto"/>
              <w:ind w:firstLine="0" w:firstLineChars="0"/>
              <w:jc w:val="center"/>
              <w:rPr>
                <w:rFonts w:cs="Times New Roman"/>
                <w:sz w:val="21"/>
                <w:szCs w:val="21"/>
              </w:rPr>
            </w:pPr>
          </w:p>
        </w:tc>
        <w:tc>
          <w:tcPr>
            <w:tcW w:w="2587" w:type="dxa"/>
            <w:tcBorders>
              <w:left w:val="single" w:color="auto" w:sz="2" w:space="0"/>
            </w:tcBorders>
            <w:vAlign w:val="center"/>
          </w:tcPr>
          <w:p>
            <w:pPr>
              <w:spacing w:line="240" w:lineRule="auto"/>
              <w:ind w:firstLine="0" w:firstLineChars="0"/>
              <w:jc w:val="center"/>
              <w:rPr>
                <w:rFonts w:cs="Times New Roman"/>
                <w:bCs/>
                <w:color w:val="000000"/>
                <w:sz w:val="21"/>
                <w:szCs w:val="21"/>
              </w:rPr>
            </w:pPr>
            <w:r>
              <w:rPr>
                <w:rFonts w:cs="Times New Roman"/>
                <w:sz w:val="21"/>
                <w:szCs w:val="21"/>
              </w:rPr>
              <w:t>中梁公园壹号</w:t>
            </w:r>
            <w:r>
              <w:rPr>
                <w:rFonts w:ascii="Cambria Math" w:hAnsi="Cambria Math" w:cs="Cambria Math"/>
                <w:bCs/>
                <w:color w:val="000000"/>
                <w:sz w:val="21"/>
                <w:szCs w:val="21"/>
              </w:rPr>
              <w:t>△</w:t>
            </w:r>
            <w:r>
              <w:rPr>
                <w:rFonts w:cs="Times New Roman"/>
                <w:bCs/>
                <w:color w:val="000000"/>
                <w:sz w:val="21"/>
                <w:szCs w:val="21"/>
              </w:rPr>
              <w:t>N5</w:t>
            </w:r>
          </w:p>
        </w:tc>
        <w:tc>
          <w:tcPr>
            <w:tcW w:w="1127" w:type="dxa"/>
            <w:tcBorders>
              <w:left w:val="single" w:color="auto" w:sz="4" w:space="0"/>
            </w:tcBorders>
            <w:vAlign w:val="center"/>
          </w:tcPr>
          <w:p>
            <w:pPr>
              <w:spacing w:line="240" w:lineRule="auto"/>
              <w:ind w:firstLine="0" w:firstLineChars="0"/>
              <w:jc w:val="center"/>
              <w:rPr>
                <w:rFonts w:cs="Times New Roman"/>
                <w:bCs/>
                <w:color w:val="000000"/>
                <w:sz w:val="21"/>
                <w:szCs w:val="21"/>
              </w:rPr>
            </w:pPr>
            <w:r>
              <w:rPr>
                <w:rFonts w:cs="Times New Roman"/>
                <w:bCs/>
                <w:color w:val="000000"/>
                <w:sz w:val="21"/>
                <w:szCs w:val="21"/>
              </w:rPr>
              <w:t>生活</w:t>
            </w:r>
          </w:p>
        </w:tc>
        <w:tc>
          <w:tcPr>
            <w:tcW w:w="833" w:type="dxa"/>
            <w:tcBorders>
              <w:left w:val="single" w:color="auto" w:sz="2" w:space="0"/>
            </w:tcBorders>
            <w:vAlign w:val="center"/>
          </w:tcPr>
          <w:p>
            <w:pPr>
              <w:spacing w:line="240" w:lineRule="auto"/>
              <w:ind w:firstLine="0" w:firstLineChars="0"/>
              <w:jc w:val="center"/>
              <w:rPr>
                <w:rFonts w:cs="Times New Roman"/>
                <w:sz w:val="21"/>
                <w:szCs w:val="21"/>
              </w:rPr>
            </w:pPr>
            <w:r>
              <w:rPr>
                <w:rFonts w:cs="Times New Roman"/>
                <w:sz w:val="21"/>
                <w:szCs w:val="21"/>
              </w:rPr>
              <w:t>52.2</w:t>
            </w:r>
          </w:p>
        </w:tc>
        <w:tc>
          <w:tcPr>
            <w:tcW w:w="833" w:type="dxa"/>
            <w:tcBorders>
              <w:left w:val="single" w:color="auto" w:sz="4" w:space="0"/>
            </w:tcBorders>
            <w:vAlign w:val="center"/>
          </w:tcPr>
          <w:p>
            <w:pPr>
              <w:spacing w:line="240" w:lineRule="auto"/>
              <w:ind w:firstLine="0" w:firstLineChars="0"/>
              <w:jc w:val="center"/>
              <w:rPr>
                <w:rFonts w:cs="Times New Roman"/>
                <w:sz w:val="21"/>
                <w:szCs w:val="21"/>
              </w:rPr>
            </w:pPr>
            <w:r>
              <w:rPr>
                <w:rFonts w:cs="Times New Roman"/>
                <w:sz w:val="21"/>
                <w:szCs w:val="21"/>
              </w:rPr>
              <w:t>40.4</w:t>
            </w:r>
          </w:p>
        </w:tc>
        <w:tc>
          <w:tcPr>
            <w:tcW w:w="900"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60</w:t>
            </w:r>
          </w:p>
        </w:tc>
        <w:tc>
          <w:tcPr>
            <w:tcW w:w="865" w:type="dxa"/>
            <w:tcBorders>
              <w:left w:val="single" w:color="auto" w:sz="4" w:space="0"/>
            </w:tcBorders>
            <w:vAlign w:val="center"/>
          </w:tcPr>
          <w:p>
            <w:pPr>
              <w:widowControl/>
              <w:spacing w:line="240" w:lineRule="auto"/>
              <w:ind w:firstLine="0" w:firstLineChars="0"/>
              <w:jc w:val="center"/>
              <w:textAlignment w:val="center"/>
              <w:rPr>
                <w:rFonts w:cs="Times New Roman"/>
                <w:sz w:val="21"/>
                <w:szCs w:val="21"/>
              </w:rPr>
            </w:pPr>
            <w:r>
              <w:rPr>
                <w:rFonts w:cs="Times New Roman"/>
                <w:sz w:val="21"/>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68" w:hRule="atLeast"/>
        </w:trPr>
        <w:tc>
          <w:tcPr>
            <w:tcW w:w="8522" w:type="dxa"/>
            <w:gridSpan w:val="7"/>
            <w:tcBorders>
              <w:left w:val="single" w:color="auto" w:sz="2" w:space="0"/>
            </w:tcBorders>
            <w:vAlign w:val="center"/>
          </w:tcPr>
          <w:p>
            <w:pPr>
              <w:spacing w:line="240" w:lineRule="auto"/>
              <w:ind w:firstLine="0" w:firstLineChars="0"/>
              <w:rPr>
                <w:rFonts w:cs="Times New Roman"/>
                <w:kern w:val="0"/>
                <w:sz w:val="21"/>
                <w:szCs w:val="21"/>
              </w:rPr>
            </w:pPr>
            <w:r>
              <w:rPr>
                <w:rFonts w:cs="Times New Roman"/>
                <w:kern w:val="0"/>
                <w:sz w:val="21"/>
                <w:szCs w:val="21"/>
              </w:rPr>
              <w:t>备注：1、项目北面噪声执行</w:t>
            </w:r>
            <w:r>
              <w:rPr>
                <w:rFonts w:cs="Times New Roman"/>
                <w:color w:val="000000"/>
                <w:kern w:val="0"/>
                <w:sz w:val="21"/>
                <w:szCs w:val="21"/>
              </w:rPr>
              <w:t>《工业企业厂界环境噪声排放标准》（GB12348-2008）4a类标准；项目东、南、西面噪声执行2类标准；</w:t>
            </w:r>
            <w:r>
              <w:rPr>
                <w:rFonts w:cs="Times New Roman"/>
                <w:kern w:val="0"/>
                <w:sz w:val="21"/>
                <w:szCs w:val="21"/>
              </w:rPr>
              <w:t>中梁公园执行《声环境质量标准》（GB3096-2008）中2类标准；</w:t>
            </w:r>
          </w:p>
          <w:p>
            <w:pPr>
              <w:autoSpaceDE w:val="0"/>
              <w:autoSpaceDN w:val="0"/>
              <w:spacing w:line="240" w:lineRule="auto"/>
              <w:ind w:firstLine="0" w:firstLineChars="0"/>
              <w:rPr>
                <w:rFonts w:eastAsia="黑体" w:cs="Times New Roman"/>
                <w:color w:val="000000"/>
                <w:sz w:val="21"/>
                <w:szCs w:val="21"/>
              </w:rPr>
            </w:pPr>
            <w:r>
              <w:rPr>
                <w:rFonts w:cs="Times New Roman"/>
                <w:snapToGrid w:val="0"/>
                <w:color w:val="000000"/>
                <w:kern w:val="0"/>
                <w:sz w:val="21"/>
                <w:szCs w:val="21"/>
              </w:rPr>
              <w:t>2、本报告结果只对当时监测结果负责。</w:t>
            </w:r>
          </w:p>
        </w:tc>
      </w:tr>
    </w:tbl>
    <w:p>
      <w:pPr>
        <w:ind w:firstLine="480"/>
      </w:pPr>
      <w:r>
        <w:rPr>
          <w:rFonts w:hint="eastAsia"/>
        </w:rPr>
        <w:t>监测结果表明：项目北面昼间、夜间噪声符合《工业企业厂界环境噪声排放标准》（GB12348-2008）4a类标准；项目东、南、西面昼间、夜间噪声符合2类标准；中梁公园昼间、夜间符合《声环境质量标准》（GB3096-2008）中2类标准。</w:t>
      </w:r>
    </w:p>
    <w:p>
      <w:pPr>
        <w:pStyle w:val="4"/>
        <w:rPr>
          <w:color w:val="auto"/>
        </w:rPr>
      </w:pPr>
      <w:bookmarkStart w:id="96" w:name="_Toc11265"/>
      <w:r>
        <w:rPr>
          <w:rFonts w:hint="eastAsia"/>
          <w:color w:val="auto"/>
        </w:rPr>
        <w:t>油气回收</w:t>
      </w:r>
      <w:bookmarkEnd w:id="96"/>
    </w:p>
    <w:p>
      <w:pPr>
        <w:pStyle w:val="35"/>
        <w:rPr>
          <w:color w:val="auto"/>
        </w:rPr>
      </w:pPr>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color w:val="auto"/>
        </w:rPr>
        <w:t>9.2</w:t>
      </w:r>
      <w:r>
        <w:rPr>
          <w:color w:val="auto"/>
        </w:rPr>
        <w:fldChar w:fldCharType="end"/>
      </w:r>
      <w:r>
        <w:rPr>
          <w:color w:val="auto"/>
        </w:rPr>
        <w:noBreakHyphen/>
      </w:r>
      <w:r>
        <w:rPr>
          <w:rFonts w:hint="eastAsia"/>
          <w:color w:val="auto"/>
        </w:rPr>
        <w:t>6</w:t>
      </w:r>
      <w:r>
        <w:rPr>
          <w:color w:val="auto"/>
        </w:rPr>
        <w:t xml:space="preserve"> </w:t>
      </w:r>
      <w:r>
        <w:rPr>
          <w:rFonts w:hint="eastAsia"/>
          <w:color w:val="auto"/>
        </w:rPr>
        <w:t>密闭性检测结果</w:t>
      </w:r>
    </w:p>
    <w:tbl>
      <w:tblPr>
        <w:tblStyle w:val="22"/>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0"/>
        <w:gridCol w:w="61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vMerge w:val="restart"/>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加油油气回收系统</w:t>
            </w:r>
          </w:p>
          <w:p>
            <w:pPr>
              <w:spacing w:line="240" w:lineRule="auto"/>
              <w:ind w:firstLine="0" w:firstLineChars="0"/>
              <w:jc w:val="center"/>
              <w:rPr>
                <w:rFonts w:cs="Times New Roman"/>
                <w:color w:val="auto"/>
                <w:sz w:val="21"/>
                <w:szCs w:val="21"/>
              </w:rPr>
            </w:pPr>
            <w:r>
              <w:rPr>
                <w:rFonts w:cs="Times New Roman"/>
                <w:color w:val="auto"/>
                <w:sz w:val="21"/>
                <w:szCs w:val="21"/>
              </w:rPr>
              <w:t>设备参数</w:t>
            </w:r>
          </w:p>
        </w:tc>
        <w:tc>
          <w:tcPr>
            <w:tcW w:w="6112" w:type="dxa"/>
            <w:tcBorders>
              <w:right w:val="single" w:color="auto" w:sz="4" w:space="0"/>
            </w:tcBorders>
            <w:vAlign w:val="center"/>
          </w:tcPr>
          <w:p>
            <w:pPr>
              <w:spacing w:line="240" w:lineRule="auto"/>
              <w:ind w:right="-175" w:rightChars="-73" w:firstLine="0" w:firstLineChars="0"/>
              <w:jc w:val="left"/>
              <w:rPr>
                <w:rFonts w:cs="Times New Roman"/>
                <w:color w:val="auto"/>
                <w:sz w:val="21"/>
                <w:szCs w:val="21"/>
              </w:rPr>
            </w:pPr>
            <w:r>
              <w:rPr>
                <w:rFonts w:cs="Times New Roman"/>
                <w:color w:val="auto"/>
                <w:sz w:val="21"/>
                <w:szCs w:val="21"/>
              </w:rPr>
              <w:t>各油罐的油气管线是否连通：是</w:t>
            </w:r>
            <w:r>
              <w:rPr>
                <w:rFonts w:cs="Times New Roman"/>
                <w:color w:val="auto"/>
                <w:sz w:val="21"/>
                <w:szCs w:val="21"/>
              </w:rPr>
              <w:sym w:font="Wingdings" w:char="00FE"/>
            </w:r>
            <w:r>
              <w:rPr>
                <w:rFonts w:cs="Times New Roman"/>
                <w:color w:val="auto"/>
                <w:sz w:val="21"/>
                <w:szCs w:val="21"/>
              </w:rPr>
              <w:t xml:space="preserve">      否</w:t>
            </w:r>
            <w:r>
              <w:rPr>
                <w:rFonts w:cs="Times New Roman"/>
                <w:color w:val="auto"/>
                <w:sz w:val="21"/>
                <w:szCs w:val="21"/>
              </w:rPr>
              <w:sym w:font="Wingdings 2" w:char="00A3"/>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vMerge w:val="continue"/>
            <w:tcBorders>
              <w:left w:val="single" w:color="auto" w:sz="4" w:space="0"/>
            </w:tcBorders>
            <w:vAlign w:val="center"/>
          </w:tcPr>
          <w:p>
            <w:pPr>
              <w:spacing w:line="240" w:lineRule="auto"/>
              <w:ind w:firstLine="0" w:firstLineChars="0"/>
              <w:jc w:val="center"/>
              <w:rPr>
                <w:rFonts w:cs="Times New Roman"/>
                <w:color w:val="auto"/>
                <w:sz w:val="21"/>
                <w:szCs w:val="21"/>
              </w:rPr>
            </w:pPr>
          </w:p>
        </w:tc>
        <w:tc>
          <w:tcPr>
            <w:tcW w:w="6112" w:type="dxa"/>
            <w:tcBorders>
              <w:right w:val="single" w:color="auto" w:sz="4" w:space="0"/>
            </w:tcBorders>
            <w:vAlign w:val="center"/>
          </w:tcPr>
          <w:p>
            <w:pPr>
              <w:spacing w:line="240" w:lineRule="auto"/>
              <w:ind w:right="-175" w:rightChars="-73" w:firstLine="0" w:firstLineChars="0"/>
              <w:jc w:val="left"/>
              <w:rPr>
                <w:rFonts w:cs="Times New Roman"/>
                <w:color w:val="auto"/>
                <w:sz w:val="21"/>
                <w:szCs w:val="21"/>
              </w:rPr>
            </w:pPr>
            <w:r>
              <w:rPr>
                <w:rFonts w:cs="Times New Roman"/>
                <w:color w:val="auto"/>
                <w:sz w:val="21"/>
                <w:szCs w:val="21"/>
              </w:rPr>
              <w:t>是否有油气排放处理装置：  是</w:t>
            </w:r>
            <w:r>
              <w:rPr>
                <w:rFonts w:cs="Times New Roman"/>
                <w:color w:val="auto"/>
                <w:sz w:val="21"/>
                <w:szCs w:val="21"/>
              </w:rPr>
              <w:sym w:font="Wingdings 2" w:char="0052"/>
            </w:r>
            <w:r>
              <w:rPr>
                <w:rFonts w:cs="Times New Roman"/>
                <w:color w:val="auto"/>
                <w:sz w:val="21"/>
                <w:szCs w:val="21"/>
              </w:rPr>
              <w:t xml:space="preserve">      否</w:t>
            </w:r>
            <w:r>
              <w:rPr>
                <w:rFonts w:cs="Times New Roman"/>
                <w:color w:val="auto"/>
                <w:sz w:val="21"/>
                <w:szCs w:val="21"/>
              </w:rPr>
              <w:sym w:font="Wingdings" w:char="00A8"/>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二次油气回收系统参数</w:t>
            </w:r>
          </w:p>
        </w:tc>
        <w:tc>
          <w:tcPr>
            <w:tcW w:w="6112" w:type="dxa"/>
            <w:tcBorders>
              <w:right w:val="single" w:color="auto" w:sz="4" w:space="0"/>
            </w:tcBorders>
            <w:vAlign w:val="center"/>
          </w:tcPr>
          <w:p>
            <w:pPr>
              <w:ind w:right="-175" w:rightChars="-73" w:firstLine="0" w:firstLineChars="0"/>
              <w:jc w:val="left"/>
              <w:rPr>
                <w:rFonts w:cs="Times New Roman"/>
                <w:color w:val="auto"/>
                <w:sz w:val="21"/>
                <w:szCs w:val="21"/>
              </w:rPr>
            </w:pPr>
            <w:r>
              <w:rPr>
                <w:rFonts w:cs="Times New Roman"/>
                <w:color w:val="auto"/>
                <w:sz w:val="21"/>
                <w:szCs w:val="21"/>
              </w:rPr>
              <w:sym w:font="Wingdings" w:char="00A8"/>
            </w:r>
            <w:r>
              <w:rPr>
                <w:rFonts w:cs="Times New Roman"/>
                <w:color w:val="auto"/>
                <w:sz w:val="21"/>
                <w:szCs w:val="21"/>
              </w:rPr>
              <w:t>集中式泵，一泵带</w:t>
            </w:r>
            <w:r>
              <w:rPr>
                <w:rFonts w:cs="Times New Roman"/>
                <w:color w:val="auto"/>
                <w:sz w:val="21"/>
                <w:szCs w:val="21"/>
                <w:u w:val="single"/>
              </w:rPr>
              <w:t xml:space="preserve">       </w:t>
            </w:r>
            <w:r>
              <w:rPr>
                <w:rFonts w:cs="Times New Roman"/>
                <w:color w:val="auto"/>
                <w:sz w:val="21"/>
                <w:szCs w:val="21"/>
              </w:rPr>
              <w:t>枪 ，共</w:t>
            </w:r>
            <w:r>
              <w:rPr>
                <w:rFonts w:cs="Times New Roman"/>
                <w:color w:val="auto"/>
                <w:sz w:val="21"/>
                <w:szCs w:val="21"/>
                <w:u w:val="single"/>
              </w:rPr>
              <w:t xml:space="preserve">   </w:t>
            </w:r>
            <w:r>
              <w:rPr>
                <w:rFonts w:hint="eastAsia" w:cs="Times New Roman"/>
                <w:color w:val="auto"/>
                <w:sz w:val="21"/>
                <w:szCs w:val="21"/>
                <w:u w:val="single"/>
              </w:rPr>
              <w:t xml:space="preserve"> </w:t>
            </w:r>
            <w:r>
              <w:rPr>
                <w:rFonts w:cs="Times New Roman"/>
                <w:color w:val="auto"/>
                <w:sz w:val="21"/>
                <w:szCs w:val="21"/>
                <w:u w:val="single"/>
              </w:rPr>
              <w:t xml:space="preserve">    </w:t>
            </w:r>
            <w:r>
              <w:rPr>
                <w:rFonts w:cs="Times New Roman"/>
                <w:color w:val="auto"/>
                <w:sz w:val="21"/>
                <w:szCs w:val="21"/>
              </w:rPr>
              <w:t>个泵；</w:t>
            </w:r>
          </w:p>
          <w:p>
            <w:pPr>
              <w:ind w:right="-175" w:rightChars="-73" w:firstLine="0" w:firstLineChars="0"/>
              <w:jc w:val="left"/>
              <w:rPr>
                <w:rFonts w:cs="Times New Roman"/>
                <w:color w:val="auto"/>
                <w:sz w:val="21"/>
                <w:szCs w:val="21"/>
              </w:rPr>
            </w:pPr>
            <w:r>
              <w:rPr>
                <w:rFonts w:cs="Times New Roman"/>
                <w:color w:val="auto"/>
                <w:sz w:val="21"/>
                <w:szCs w:val="21"/>
              </w:rPr>
              <w:sym w:font="Wingdings" w:char="00FE"/>
            </w:r>
            <w:r>
              <w:rPr>
                <w:rFonts w:cs="Times New Roman"/>
                <w:color w:val="auto"/>
                <w:sz w:val="21"/>
                <w:szCs w:val="21"/>
              </w:rPr>
              <w:t>分散式泵，一泵带</w:t>
            </w:r>
            <w:r>
              <w:rPr>
                <w:rFonts w:cs="Times New Roman"/>
                <w:color w:val="auto"/>
                <w:sz w:val="21"/>
                <w:szCs w:val="21"/>
                <w:u w:val="single"/>
              </w:rPr>
              <w:t xml:space="preserve">   </w:t>
            </w:r>
            <w:r>
              <w:rPr>
                <w:rFonts w:hint="eastAsia" w:cs="Times New Roman"/>
                <w:color w:val="auto"/>
                <w:sz w:val="21"/>
                <w:szCs w:val="21"/>
                <w:u w:val="single"/>
              </w:rPr>
              <w:t>2</w:t>
            </w:r>
            <w:r>
              <w:rPr>
                <w:rFonts w:cs="Times New Roman"/>
                <w:color w:val="auto"/>
                <w:sz w:val="21"/>
                <w:szCs w:val="21"/>
                <w:u w:val="single"/>
              </w:rPr>
              <w:t xml:space="preserve">   </w:t>
            </w:r>
            <w:r>
              <w:rPr>
                <w:rFonts w:cs="Times New Roman"/>
                <w:color w:val="auto"/>
                <w:sz w:val="21"/>
                <w:szCs w:val="21"/>
              </w:rPr>
              <w:t>枪 ，共</w:t>
            </w:r>
            <w:r>
              <w:rPr>
                <w:rFonts w:cs="Times New Roman"/>
                <w:color w:val="auto"/>
                <w:sz w:val="21"/>
                <w:szCs w:val="21"/>
                <w:u w:val="single"/>
              </w:rPr>
              <w:t xml:space="preserve"> </w:t>
            </w:r>
            <w:r>
              <w:rPr>
                <w:rFonts w:hint="eastAsia" w:cs="Times New Roman"/>
                <w:color w:val="auto"/>
                <w:sz w:val="21"/>
                <w:szCs w:val="21"/>
                <w:u w:val="single"/>
              </w:rPr>
              <w:t xml:space="preserve"> </w:t>
            </w:r>
            <w:r>
              <w:rPr>
                <w:rFonts w:cs="Times New Roman"/>
                <w:color w:val="auto"/>
                <w:sz w:val="21"/>
                <w:szCs w:val="21"/>
                <w:u w:val="single"/>
              </w:rPr>
              <w:t xml:space="preserve"> </w:t>
            </w:r>
            <w:r>
              <w:rPr>
                <w:rFonts w:hint="eastAsia" w:cs="Times New Roman"/>
                <w:color w:val="auto"/>
                <w:sz w:val="21"/>
                <w:szCs w:val="21"/>
                <w:u w:val="single"/>
              </w:rPr>
              <w:t xml:space="preserve">15 </w:t>
            </w:r>
            <w:r>
              <w:rPr>
                <w:rFonts w:cs="Times New Roman"/>
                <w:color w:val="auto"/>
                <w:sz w:val="21"/>
                <w:szCs w:val="21"/>
                <w:u w:val="single"/>
              </w:rPr>
              <w:t xml:space="preserve">  </w:t>
            </w:r>
            <w:r>
              <w:rPr>
                <w:rFonts w:cs="Times New Roman"/>
                <w:color w:val="auto"/>
                <w:sz w:val="21"/>
                <w:szCs w:val="21"/>
              </w:rPr>
              <w:t>个泵。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油罐编号</w:t>
            </w:r>
          </w:p>
        </w:tc>
        <w:tc>
          <w:tcPr>
            <w:tcW w:w="6112"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w:t>
            </w:r>
            <w:r>
              <w:rPr>
                <w:rFonts w:cs="Times New Roman"/>
                <w:color w:val="auto"/>
                <w:sz w:val="21"/>
                <w:szCs w:val="21"/>
              </w:rPr>
              <w:t>#</w:t>
            </w:r>
            <w:r>
              <w:rPr>
                <w:rFonts w:hint="eastAsia" w:cs="Times New Roman"/>
                <w:color w:val="auto"/>
                <w:sz w:val="21"/>
                <w:szCs w:val="21"/>
              </w:rPr>
              <w:t>、2</w:t>
            </w:r>
            <w:r>
              <w:rPr>
                <w:rFonts w:cs="Times New Roman"/>
                <w:color w:val="auto"/>
                <w:sz w:val="21"/>
                <w:szCs w:val="21"/>
              </w:rPr>
              <w:t>#</w:t>
            </w:r>
            <w:r>
              <w:rPr>
                <w:rFonts w:hint="eastAsia" w:cs="Times New Roman"/>
                <w:color w:val="auto"/>
                <w:sz w:val="21"/>
                <w:szCs w:val="21"/>
              </w:rPr>
              <w:t>、3</w:t>
            </w:r>
            <w:r>
              <w:rPr>
                <w:rFonts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widowControl/>
              <w:spacing w:line="240" w:lineRule="auto"/>
              <w:ind w:firstLine="0" w:firstLineChars="0"/>
              <w:jc w:val="center"/>
              <w:rPr>
                <w:rFonts w:cs="Times New Roman"/>
                <w:color w:val="auto"/>
                <w:sz w:val="21"/>
                <w:szCs w:val="21"/>
              </w:rPr>
            </w:pPr>
            <w:r>
              <w:rPr>
                <w:rFonts w:cs="Times New Roman"/>
                <w:color w:val="auto"/>
                <w:sz w:val="21"/>
                <w:szCs w:val="21"/>
              </w:rPr>
              <w:t>汽油标号</w:t>
            </w:r>
          </w:p>
        </w:tc>
        <w:tc>
          <w:tcPr>
            <w:tcW w:w="6112"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w:t>
            </w:r>
            <w:r>
              <w:rPr>
                <w:rFonts w:cs="Times New Roman"/>
                <w:color w:val="auto"/>
                <w:sz w:val="21"/>
                <w:szCs w:val="21"/>
              </w:rPr>
              <w:t>#</w:t>
            </w:r>
            <w:r>
              <w:rPr>
                <w:rFonts w:hint="eastAsia" w:cs="Times New Roman"/>
                <w:color w:val="auto"/>
                <w:sz w:val="21"/>
                <w:szCs w:val="21"/>
              </w:rPr>
              <w:t>：98#、2</w:t>
            </w:r>
            <w:r>
              <w:rPr>
                <w:rFonts w:cs="Times New Roman"/>
                <w:color w:val="auto"/>
                <w:sz w:val="21"/>
                <w:szCs w:val="21"/>
              </w:rPr>
              <w:t>#</w:t>
            </w:r>
            <w:r>
              <w:rPr>
                <w:rFonts w:hint="eastAsia" w:cs="Times New Roman"/>
                <w:color w:val="auto"/>
                <w:sz w:val="21"/>
                <w:szCs w:val="21"/>
              </w:rPr>
              <w:t>：92#、3</w:t>
            </w:r>
            <w:r>
              <w:rPr>
                <w:rFonts w:cs="Times New Roman"/>
                <w:color w:val="auto"/>
                <w:sz w:val="21"/>
                <w:szCs w:val="21"/>
              </w:rPr>
              <w:t>#</w:t>
            </w:r>
            <w:r>
              <w:rPr>
                <w:rFonts w:hint="eastAsia" w:cs="Times New Roman"/>
                <w:color w:val="auto"/>
                <w:sz w:val="21"/>
                <w:szCs w:val="21"/>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widowControl/>
              <w:spacing w:line="240" w:lineRule="auto"/>
              <w:ind w:firstLine="0" w:firstLineChars="0"/>
              <w:jc w:val="center"/>
              <w:rPr>
                <w:rFonts w:cs="Times New Roman"/>
                <w:color w:val="auto"/>
                <w:sz w:val="21"/>
                <w:szCs w:val="21"/>
              </w:rPr>
            </w:pPr>
            <w:r>
              <w:rPr>
                <w:rFonts w:cs="Times New Roman"/>
                <w:color w:val="auto"/>
                <w:sz w:val="21"/>
                <w:szCs w:val="21"/>
              </w:rPr>
              <w:t>加油枪数</w:t>
            </w:r>
          </w:p>
        </w:tc>
        <w:tc>
          <w:tcPr>
            <w:tcW w:w="6112"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widowControl/>
              <w:spacing w:line="240" w:lineRule="auto"/>
              <w:ind w:firstLine="0" w:firstLineChars="0"/>
              <w:jc w:val="center"/>
              <w:rPr>
                <w:rFonts w:cs="Times New Roman"/>
                <w:color w:val="auto"/>
                <w:sz w:val="21"/>
                <w:szCs w:val="21"/>
              </w:rPr>
            </w:pPr>
            <w:r>
              <w:rPr>
                <w:rFonts w:cs="Times New Roman"/>
                <w:color w:val="auto"/>
                <w:sz w:val="21"/>
                <w:szCs w:val="21"/>
              </w:rPr>
              <w:t>停用枪数</w:t>
            </w:r>
          </w:p>
        </w:tc>
        <w:tc>
          <w:tcPr>
            <w:tcW w:w="6112"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油罐容积（L）</w:t>
            </w:r>
          </w:p>
        </w:tc>
        <w:tc>
          <w:tcPr>
            <w:tcW w:w="6112"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120000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汽油体积（L）</w:t>
            </w:r>
          </w:p>
        </w:tc>
        <w:tc>
          <w:tcPr>
            <w:tcW w:w="6112"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68217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油气空间（L）</w:t>
            </w:r>
          </w:p>
        </w:tc>
        <w:tc>
          <w:tcPr>
            <w:tcW w:w="6112"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51783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lang w:bidi="ar"/>
              </w:rPr>
              <w:t>初始压力（Pa）</w:t>
            </w:r>
          </w:p>
        </w:tc>
        <w:tc>
          <w:tcPr>
            <w:tcW w:w="6112"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504（500）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lang w:bidi="ar"/>
              </w:rPr>
              <w:t>1min</w:t>
            </w:r>
            <w:r>
              <w:rPr>
                <w:rFonts w:cs="Times New Roman"/>
                <w:color w:val="auto"/>
                <w:sz w:val="21"/>
                <w:szCs w:val="21"/>
                <w:lang w:bidi="ar"/>
              </w:rPr>
              <w:t>后压力</w:t>
            </w:r>
            <w:r>
              <w:rPr>
                <w:rFonts w:cs="Times New Roman"/>
                <w:color w:val="auto"/>
                <w:kern w:val="0"/>
                <w:sz w:val="21"/>
                <w:szCs w:val="21"/>
                <w:lang w:bidi="ar"/>
              </w:rPr>
              <w:t>（Pa）</w:t>
            </w:r>
          </w:p>
        </w:tc>
        <w:tc>
          <w:tcPr>
            <w:tcW w:w="6112"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498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lang w:bidi="ar"/>
              </w:rPr>
              <w:t>2min后压力（Pa）</w:t>
            </w:r>
          </w:p>
        </w:tc>
        <w:tc>
          <w:tcPr>
            <w:tcW w:w="6112"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492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lang w:bidi="ar"/>
              </w:rPr>
              <w:t>3min后压力（Pa）</w:t>
            </w:r>
          </w:p>
        </w:tc>
        <w:tc>
          <w:tcPr>
            <w:tcW w:w="6112"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488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widowControl/>
              <w:spacing w:line="240" w:lineRule="auto"/>
              <w:ind w:firstLine="0" w:firstLineChars="0"/>
              <w:jc w:val="center"/>
              <w:rPr>
                <w:rFonts w:cs="Times New Roman"/>
                <w:color w:val="auto"/>
                <w:sz w:val="21"/>
                <w:szCs w:val="21"/>
              </w:rPr>
            </w:pPr>
            <w:r>
              <w:rPr>
                <w:rFonts w:cs="Times New Roman"/>
                <w:color w:val="auto"/>
                <w:kern w:val="0"/>
                <w:sz w:val="21"/>
                <w:szCs w:val="21"/>
                <w:lang w:bidi="ar"/>
              </w:rPr>
              <w:t>4min后压力（Pa）</w:t>
            </w:r>
          </w:p>
        </w:tc>
        <w:tc>
          <w:tcPr>
            <w:tcW w:w="6112"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485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widowControl/>
              <w:spacing w:line="240" w:lineRule="auto"/>
              <w:ind w:firstLine="0" w:firstLineChars="0"/>
              <w:jc w:val="center"/>
              <w:rPr>
                <w:rFonts w:cs="Times New Roman"/>
                <w:color w:val="auto"/>
                <w:sz w:val="21"/>
                <w:szCs w:val="21"/>
              </w:rPr>
            </w:pPr>
            <w:r>
              <w:rPr>
                <w:rFonts w:cs="Times New Roman"/>
                <w:color w:val="auto"/>
                <w:kern w:val="0"/>
                <w:sz w:val="21"/>
                <w:szCs w:val="21"/>
                <w:lang w:bidi="ar"/>
              </w:rPr>
              <w:t>5min后压力（Pa）</w:t>
            </w:r>
          </w:p>
        </w:tc>
        <w:tc>
          <w:tcPr>
            <w:tcW w:w="6112"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482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widowControl/>
              <w:spacing w:line="240" w:lineRule="auto"/>
              <w:ind w:firstLine="0" w:firstLineChars="0"/>
              <w:jc w:val="center"/>
              <w:rPr>
                <w:rFonts w:cs="Times New Roman"/>
                <w:color w:val="auto"/>
                <w:sz w:val="21"/>
                <w:szCs w:val="21"/>
              </w:rPr>
            </w:pPr>
            <w:r>
              <w:rPr>
                <w:rFonts w:cs="Times New Roman"/>
                <w:color w:val="auto"/>
                <w:kern w:val="0"/>
                <w:sz w:val="21"/>
                <w:szCs w:val="21"/>
                <w:lang w:bidi="ar"/>
              </w:rPr>
              <w:t>最小剩余压力限值（Pa）</w:t>
            </w:r>
          </w:p>
        </w:tc>
        <w:tc>
          <w:tcPr>
            <w:tcW w:w="6112"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479（475）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widowControl/>
              <w:spacing w:line="240" w:lineRule="auto"/>
              <w:ind w:firstLine="0" w:firstLineChars="0"/>
              <w:jc w:val="center"/>
              <w:rPr>
                <w:rFonts w:cs="Times New Roman"/>
                <w:color w:val="auto"/>
                <w:kern w:val="0"/>
                <w:sz w:val="21"/>
                <w:szCs w:val="21"/>
                <w:lang w:bidi="ar"/>
              </w:rPr>
            </w:pPr>
            <w:r>
              <w:rPr>
                <w:rFonts w:cs="Times New Roman"/>
                <w:color w:val="auto"/>
                <w:kern w:val="0"/>
                <w:sz w:val="21"/>
                <w:szCs w:val="21"/>
                <w:lang w:bidi="ar"/>
              </w:rPr>
              <w:t>是否达标</w:t>
            </w:r>
          </w:p>
        </w:tc>
        <w:tc>
          <w:tcPr>
            <w:tcW w:w="6112"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环境条件</w:t>
            </w:r>
          </w:p>
        </w:tc>
        <w:tc>
          <w:tcPr>
            <w:tcW w:w="6112" w:type="dxa"/>
            <w:tcBorders>
              <w:right w:val="single" w:color="auto" w:sz="4" w:space="0"/>
            </w:tcBorders>
            <w:vAlign w:val="center"/>
          </w:tcPr>
          <w:p>
            <w:pPr>
              <w:spacing w:line="240" w:lineRule="auto"/>
              <w:ind w:right="-175" w:rightChars="-73" w:firstLine="0" w:firstLineChars="0"/>
              <w:jc w:val="left"/>
              <w:rPr>
                <w:rFonts w:cs="Times New Roman"/>
                <w:color w:val="auto"/>
                <w:sz w:val="21"/>
                <w:szCs w:val="21"/>
              </w:rPr>
            </w:pPr>
            <w:r>
              <w:rPr>
                <w:rFonts w:cs="Times New Roman"/>
                <w:color w:val="auto"/>
                <w:sz w:val="21"/>
                <w:szCs w:val="21"/>
              </w:rPr>
              <w:t>天气状况：</w:t>
            </w:r>
            <w:r>
              <w:rPr>
                <w:rFonts w:hint="eastAsia" w:cs="Times New Roman"/>
                <w:color w:val="auto"/>
                <w:sz w:val="21"/>
                <w:szCs w:val="21"/>
              </w:rPr>
              <w:t>晴</w:t>
            </w:r>
            <w:r>
              <w:rPr>
                <w:rFonts w:cs="Times New Roman"/>
                <w:color w:val="auto"/>
                <w:sz w:val="21"/>
                <w:szCs w:val="21"/>
              </w:rPr>
              <w:t xml:space="preserve">     环境温度（℃）：</w:t>
            </w:r>
            <w:r>
              <w:rPr>
                <w:rFonts w:hint="eastAsia" w:cs="Times New Roman"/>
                <w:color w:val="auto"/>
                <w:sz w:val="21"/>
                <w:szCs w:val="21"/>
              </w:rPr>
              <w:t>28.7</w:t>
            </w:r>
            <w:r>
              <w:rPr>
                <w:rFonts w:cs="Times New Roman"/>
                <w:color w:val="auto"/>
                <w:sz w:val="21"/>
                <w:szCs w:val="21"/>
              </w:rPr>
              <w:t xml:space="preserve">    大气压（kPa）：</w:t>
            </w:r>
            <w:r>
              <w:rPr>
                <w:rFonts w:hint="eastAsia" w:cs="Times New Roman"/>
                <w:color w:val="auto"/>
                <w:sz w:val="21"/>
                <w:szCs w:val="21"/>
              </w:rPr>
              <w:t>100.7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2410"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备注</w:t>
            </w:r>
          </w:p>
        </w:tc>
        <w:tc>
          <w:tcPr>
            <w:tcW w:w="6112" w:type="dxa"/>
            <w:tcBorders>
              <w:right w:val="single" w:color="auto" w:sz="4" w:space="0"/>
            </w:tcBorders>
            <w:vAlign w:val="center"/>
          </w:tcPr>
          <w:p>
            <w:pPr>
              <w:spacing w:line="240" w:lineRule="auto"/>
              <w:ind w:right="-175" w:rightChars="-73" w:firstLine="0" w:firstLineChars="0"/>
              <w:jc w:val="left"/>
              <w:rPr>
                <w:rFonts w:cs="Times New Roman"/>
                <w:color w:val="auto"/>
                <w:sz w:val="21"/>
                <w:szCs w:val="21"/>
              </w:rPr>
            </w:pPr>
            <w:r>
              <w:rPr>
                <w:rFonts w:cs="Times New Roman"/>
                <w:color w:val="auto"/>
                <w:sz w:val="21"/>
                <w:szCs w:val="21"/>
              </w:rPr>
              <w:t>限值执行《加油站大气污染物排放标准》（GB 20952-2020）表2 加油站油气回收系统密闭性检测最小剩余压力限值。</w:t>
            </w:r>
          </w:p>
        </w:tc>
      </w:tr>
    </w:tbl>
    <w:p>
      <w:pPr>
        <w:pStyle w:val="35"/>
        <w:rPr>
          <w:color w:val="auto"/>
        </w:rPr>
      </w:pPr>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color w:val="auto"/>
        </w:rPr>
        <w:t>9.2</w:t>
      </w:r>
      <w:r>
        <w:rPr>
          <w:color w:val="auto"/>
        </w:rPr>
        <w:fldChar w:fldCharType="end"/>
      </w:r>
      <w:r>
        <w:rPr>
          <w:color w:val="auto"/>
        </w:rPr>
        <w:noBreakHyphen/>
      </w:r>
      <w:r>
        <w:rPr>
          <w:rFonts w:hint="eastAsia"/>
          <w:color w:val="auto"/>
        </w:rPr>
        <w:t>7</w:t>
      </w:r>
      <w:r>
        <w:rPr>
          <w:color w:val="auto"/>
        </w:rPr>
        <w:t xml:space="preserve"> </w:t>
      </w:r>
      <w:r>
        <w:rPr>
          <w:rFonts w:hint="eastAsia"/>
          <w:color w:val="auto"/>
        </w:rPr>
        <w:t>液阻检测结果</w:t>
      </w:r>
    </w:p>
    <w:tbl>
      <w:tblPr>
        <w:tblStyle w:val="22"/>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8"/>
        <w:gridCol w:w="1208"/>
        <w:gridCol w:w="2035"/>
        <w:gridCol w:w="2035"/>
        <w:gridCol w:w="20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8" w:type="dxa"/>
            <w:vMerge w:val="restart"/>
            <w:tcBorders>
              <w:left w:val="single" w:color="auto" w:sz="4" w:space="0"/>
            </w:tcBorders>
            <w:vAlign w:val="center"/>
          </w:tcPr>
          <w:p>
            <w:pPr>
              <w:spacing w:line="240" w:lineRule="auto"/>
              <w:ind w:right="-175" w:rightChars="-73" w:firstLine="0" w:firstLineChars="0"/>
              <w:jc w:val="center"/>
              <w:rPr>
                <w:rFonts w:cs="Times New Roman"/>
                <w:color w:val="auto"/>
                <w:sz w:val="21"/>
                <w:szCs w:val="21"/>
              </w:rPr>
            </w:pPr>
            <w:r>
              <w:rPr>
                <w:rFonts w:cs="Times New Roman"/>
                <w:color w:val="auto"/>
                <w:sz w:val="21"/>
                <w:szCs w:val="21"/>
              </w:rPr>
              <w:t>加油机编号</w:t>
            </w:r>
          </w:p>
        </w:tc>
        <w:tc>
          <w:tcPr>
            <w:tcW w:w="1208" w:type="dxa"/>
            <w:vMerge w:val="restart"/>
            <w:vAlign w:val="center"/>
          </w:tcPr>
          <w:p>
            <w:pPr>
              <w:spacing w:line="240" w:lineRule="auto"/>
              <w:ind w:right="-175" w:rightChars="-73" w:firstLine="0" w:firstLineChars="0"/>
              <w:jc w:val="center"/>
              <w:rPr>
                <w:rFonts w:cs="Times New Roman"/>
                <w:color w:val="auto"/>
                <w:sz w:val="21"/>
                <w:szCs w:val="21"/>
              </w:rPr>
            </w:pPr>
            <w:r>
              <w:rPr>
                <w:rFonts w:cs="Times New Roman"/>
                <w:color w:val="auto"/>
                <w:sz w:val="21"/>
                <w:szCs w:val="21"/>
              </w:rPr>
              <w:t>汽油标号</w:t>
            </w:r>
          </w:p>
        </w:tc>
        <w:tc>
          <w:tcPr>
            <w:tcW w:w="6106" w:type="dxa"/>
            <w:gridSpan w:val="3"/>
            <w:tcBorders>
              <w:right w:val="single" w:color="auto" w:sz="4" w:space="0"/>
            </w:tcBorders>
            <w:vAlign w:val="center"/>
          </w:tcPr>
          <w:p>
            <w:pPr>
              <w:spacing w:line="240" w:lineRule="auto"/>
              <w:ind w:right="-175" w:rightChars="-73" w:firstLine="0" w:firstLineChars="0"/>
              <w:jc w:val="center"/>
              <w:rPr>
                <w:rFonts w:cs="Times New Roman"/>
                <w:color w:val="auto"/>
                <w:sz w:val="21"/>
                <w:szCs w:val="21"/>
              </w:rPr>
            </w:pPr>
            <w:r>
              <w:rPr>
                <w:rFonts w:cs="Times New Roman"/>
                <w:color w:val="auto"/>
                <w:sz w:val="21"/>
                <w:szCs w:val="21"/>
              </w:rPr>
              <w:t>液阻压力（Pa）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8" w:type="dxa"/>
            <w:vMerge w:val="continue"/>
            <w:tcBorders>
              <w:left w:val="single" w:color="auto" w:sz="4" w:space="0"/>
            </w:tcBorders>
            <w:vAlign w:val="center"/>
          </w:tcPr>
          <w:p>
            <w:pPr>
              <w:spacing w:line="240" w:lineRule="auto"/>
              <w:ind w:right="-175" w:rightChars="-73" w:firstLine="0" w:firstLineChars="0"/>
              <w:jc w:val="center"/>
              <w:rPr>
                <w:rFonts w:cs="Times New Roman"/>
                <w:color w:val="auto"/>
                <w:sz w:val="21"/>
                <w:szCs w:val="21"/>
              </w:rPr>
            </w:pPr>
          </w:p>
        </w:tc>
        <w:tc>
          <w:tcPr>
            <w:tcW w:w="1208" w:type="dxa"/>
            <w:vMerge w:val="continue"/>
            <w:vAlign w:val="center"/>
          </w:tcPr>
          <w:p>
            <w:pPr>
              <w:spacing w:line="240" w:lineRule="auto"/>
              <w:ind w:right="-175" w:rightChars="-73" w:firstLine="0" w:firstLineChars="0"/>
              <w:jc w:val="center"/>
              <w:rPr>
                <w:rFonts w:cs="Times New Roman"/>
                <w:color w:val="auto"/>
                <w:sz w:val="21"/>
                <w:szCs w:val="21"/>
              </w:rPr>
            </w:pPr>
          </w:p>
        </w:tc>
        <w:tc>
          <w:tcPr>
            <w:tcW w:w="2035" w:type="dxa"/>
            <w:vAlign w:val="center"/>
          </w:tcPr>
          <w:p>
            <w:pPr>
              <w:spacing w:line="240" w:lineRule="auto"/>
              <w:ind w:right="-175" w:rightChars="-73" w:firstLine="0" w:firstLineChars="0"/>
              <w:jc w:val="center"/>
              <w:rPr>
                <w:rFonts w:cs="Times New Roman"/>
                <w:color w:val="auto"/>
                <w:sz w:val="21"/>
                <w:szCs w:val="21"/>
              </w:rPr>
            </w:pPr>
            <w:r>
              <w:rPr>
                <w:rFonts w:cs="Times New Roman"/>
                <w:color w:val="auto"/>
                <w:sz w:val="21"/>
                <w:szCs w:val="21"/>
              </w:rPr>
              <w:t>18.0L/min</w:t>
            </w:r>
          </w:p>
        </w:tc>
        <w:tc>
          <w:tcPr>
            <w:tcW w:w="2035" w:type="dxa"/>
            <w:vAlign w:val="center"/>
          </w:tcPr>
          <w:p>
            <w:pPr>
              <w:spacing w:line="240" w:lineRule="auto"/>
              <w:ind w:right="-175" w:rightChars="-73" w:firstLine="0" w:firstLineChars="0"/>
              <w:jc w:val="center"/>
              <w:rPr>
                <w:rFonts w:cs="Times New Roman"/>
                <w:color w:val="auto"/>
                <w:sz w:val="21"/>
                <w:szCs w:val="21"/>
              </w:rPr>
            </w:pPr>
            <w:r>
              <w:rPr>
                <w:rFonts w:cs="Times New Roman"/>
                <w:color w:val="auto"/>
                <w:sz w:val="21"/>
                <w:szCs w:val="21"/>
              </w:rPr>
              <w:t>28.0L/min</w:t>
            </w:r>
          </w:p>
        </w:tc>
        <w:tc>
          <w:tcPr>
            <w:tcW w:w="2036" w:type="dxa"/>
            <w:tcBorders>
              <w:right w:val="single" w:color="auto" w:sz="4" w:space="0"/>
            </w:tcBorders>
            <w:vAlign w:val="center"/>
          </w:tcPr>
          <w:p>
            <w:pPr>
              <w:spacing w:line="240" w:lineRule="auto"/>
              <w:ind w:right="-175" w:rightChars="-73" w:firstLine="0" w:firstLineChars="0"/>
              <w:jc w:val="center"/>
              <w:rPr>
                <w:rFonts w:cs="Times New Roman"/>
                <w:color w:val="auto"/>
                <w:sz w:val="21"/>
                <w:szCs w:val="21"/>
              </w:rPr>
            </w:pPr>
            <w:r>
              <w:rPr>
                <w:rFonts w:cs="Times New Roman"/>
                <w:color w:val="auto"/>
                <w:sz w:val="21"/>
                <w:szCs w:val="21"/>
              </w:rPr>
              <w:t>38.0L/min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8"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4</w:t>
            </w:r>
          </w:p>
        </w:tc>
        <w:tc>
          <w:tcPr>
            <w:tcW w:w="1208" w:type="dxa"/>
            <w:tcBorders>
              <w:left w:val="nil"/>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92</w:t>
            </w:r>
          </w:p>
        </w:tc>
        <w:tc>
          <w:tcPr>
            <w:tcW w:w="203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5</w:t>
            </w:r>
          </w:p>
        </w:tc>
        <w:tc>
          <w:tcPr>
            <w:tcW w:w="203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12</w:t>
            </w:r>
          </w:p>
        </w:tc>
        <w:tc>
          <w:tcPr>
            <w:tcW w:w="203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8"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5</w:t>
            </w:r>
          </w:p>
        </w:tc>
        <w:tc>
          <w:tcPr>
            <w:tcW w:w="1208"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92</w:t>
            </w:r>
          </w:p>
        </w:tc>
        <w:tc>
          <w:tcPr>
            <w:tcW w:w="203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5</w:t>
            </w:r>
          </w:p>
        </w:tc>
        <w:tc>
          <w:tcPr>
            <w:tcW w:w="203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14</w:t>
            </w:r>
          </w:p>
        </w:tc>
        <w:tc>
          <w:tcPr>
            <w:tcW w:w="203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8"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6</w:t>
            </w:r>
          </w:p>
        </w:tc>
        <w:tc>
          <w:tcPr>
            <w:tcW w:w="1208"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92</w:t>
            </w:r>
          </w:p>
        </w:tc>
        <w:tc>
          <w:tcPr>
            <w:tcW w:w="203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6</w:t>
            </w:r>
          </w:p>
        </w:tc>
        <w:tc>
          <w:tcPr>
            <w:tcW w:w="203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22</w:t>
            </w:r>
          </w:p>
        </w:tc>
        <w:tc>
          <w:tcPr>
            <w:tcW w:w="203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8"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3</w:t>
            </w:r>
          </w:p>
        </w:tc>
        <w:tc>
          <w:tcPr>
            <w:tcW w:w="1208"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92</w:t>
            </w:r>
          </w:p>
        </w:tc>
        <w:tc>
          <w:tcPr>
            <w:tcW w:w="203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12</w:t>
            </w:r>
          </w:p>
        </w:tc>
        <w:tc>
          <w:tcPr>
            <w:tcW w:w="203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18</w:t>
            </w:r>
          </w:p>
        </w:tc>
        <w:tc>
          <w:tcPr>
            <w:tcW w:w="203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8"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w:t>
            </w:r>
          </w:p>
        </w:tc>
        <w:tc>
          <w:tcPr>
            <w:tcW w:w="1208"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92</w:t>
            </w:r>
          </w:p>
        </w:tc>
        <w:tc>
          <w:tcPr>
            <w:tcW w:w="203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9</w:t>
            </w:r>
          </w:p>
        </w:tc>
        <w:tc>
          <w:tcPr>
            <w:tcW w:w="203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16</w:t>
            </w:r>
          </w:p>
        </w:tc>
        <w:tc>
          <w:tcPr>
            <w:tcW w:w="203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8"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w:t>
            </w:r>
          </w:p>
        </w:tc>
        <w:tc>
          <w:tcPr>
            <w:tcW w:w="1208"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92</w:t>
            </w:r>
          </w:p>
        </w:tc>
        <w:tc>
          <w:tcPr>
            <w:tcW w:w="203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5</w:t>
            </w:r>
          </w:p>
        </w:tc>
        <w:tc>
          <w:tcPr>
            <w:tcW w:w="203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11</w:t>
            </w:r>
          </w:p>
        </w:tc>
        <w:tc>
          <w:tcPr>
            <w:tcW w:w="203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16" w:type="dxa"/>
            <w:gridSpan w:val="2"/>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液阻最大压力限值（Pa）</w:t>
            </w:r>
          </w:p>
        </w:tc>
        <w:tc>
          <w:tcPr>
            <w:tcW w:w="203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40</w:t>
            </w:r>
          </w:p>
        </w:tc>
        <w:tc>
          <w:tcPr>
            <w:tcW w:w="203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90</w:t>
            </w:r>
          </w:p>
        </w:tc>
        <w:tc>
          <w:tcPr>
            <w:tcW w:w="203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16" w:type="dxa"/>
            <w:gridSpan w:val="2"/>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是否达标</w:t>
            </w:r>
          </w:p>
        </w:tc>
        <w:tc>
          <w:tcPr>
            <w:tcW w:w="2035"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达标</w:t>
            </w:r>
          </w:p>
        </w:tc>
        <w:tc>
          <w:tcPr>
            <w:tcW w:w="2035"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达标</w:t>
            </w:r>
          </w:p>
        </w:tc>
        <w:tc>
          <w:tcPr>
            <w:tcW w:w="203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16" w:type="dxa"/>
            <w:gridSpan w:val="2"/>
            <w:tcBorders>
              <w:left w:val="single" w:color="auto" w:sz="4" w:space="0"/>
            </w:tcBorders>
            <w:vAlign w:val="center"/>
          </w:tcPr>
          <w:p>
            <w:pPr>
              <w:spacing w:line="240" w:lineRule="auto"/>
              <w:ind w:firstLine="0" w:firstLineChars="0"/>
              <w:jc w:val="center"/>
              <w:rPr>
                <w:rFonts w:cs="Times New Roman"/>
                <w:color w:val="auto"/>
                <w:sz w:val="21"/>
                <w:szCs w:val="21"/>
                <w:highlight w:val="yellow"/>
              </w:rPr>
            </w:pPr>
            <w:r>
              <w:rPr>
                <w:rFonts w:cs="Times New Roman"/>
                <w:color w:val="auto"/>
                <w:sz w:val="21"/>
                <w:szCs w:val="21"/>
              </w:rPr>
              <w:t>环境条件</w:t>
            </w:r>
          </w:p>
        </w:tc>
        <w:tc>
          <w:tcPr>
            <w:tcW w:w="6106" w:type="dxa"/>
            <w:gridSpan w:val="3"/>
            <w:tcBorders>
              <w:right w:val="single" w:color="auto" w:sz="4" w:space="0"/>
            </w:tcBorders>
            <w:vAlign w:val="center"/>
          </w:tcPr>
          <w:p>
            <w:pPr>
              <w:spacing w:line="240" w:lineRule="auto"/>
              <w:ind w:right="-175" w:rightChars="-73" w:firstLine="0" w:firstLineChars="0"/>
              <w:jc w:val="left"/>
              <w:rPr>
                <w:rFonts w:cs="Times New Roman"/>
                <w:color w:val="auto"/>
                <w:sz w:val="21"/>
                <w:szCs w:val="21"/>
              </w:rPr>
            </w:pPr>
            <w:r>
              <w:rPr>
                <w:rFonts w:cs="Times New Roman"/>
                <w:color w:val="auto"/>
                <w:sz w:val="21"/>
                <w:szCs w:val="21"/>
              </w:rPr>
              <w:t>天气状况：</w:t>
            </w:r>
            <w:r>
              <w:rPr>
                <w:rFonts w:hint="eastAsia" w:cs="Times New Roman"/>
                <w:color w:val="auto"/>
                <w:sz w:val="21"/>
                <w:szCs w:val="21"/>
              </w:rPr>
              <w:t>晴</w:t>
            </w:r>
            <w:r>
              <w:rPr>
                <w:rFonts w:cs="Times New Roman"/>
                <w:color w:val="auto"/>
                <w:sz w:val="21"/>
                <w:szCs w:val="21"/>
              </w:rPr>
              <w:t xml:space="preserve">     环境温度（℃）：</w:t>
            </w:r>
            <w:r>
              <w:rPr>
                <w:rFonts w:hint="eastAsia" w:cs="Times New Roman"/>
                <w:color w:val="auto"/>
                <w:sz w:val="21"/>
                <w:szCs w:val="21"/>
              </w:rPr>
              <w:t>28.7</w:t>
            </w:r>
            <w:r>
              <w:rPr>
                <w:rFonts w:cs="Times New Roman"/>
                <w:color w:val="auto"/>
                <w:sz w:val="21"/>
                <w:szCs w:val="21"/>
              </w:rPr>
              <w:t xml:space="preserve">    大气压（kPa）：</w:t>
            </w:r>
            <w:r>
              <w:rPr>
                <w:rFonts w:hint="eastAsia" w:cs="Times New Roman"/>
                <w:color w:val="auto"/>
                <w:sz w:val="21"/>
                <w:szCs w:val="21"/>
              </w:rPr>
              <w:t>100.7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416" w:type="dxa"/>
            <w:gridSpan w:val="2"/>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备注</w:t>
            </w:r>
          </w:p>
        </w:tc>
        <w:tc>
          <w:tcPr>
            <w:tcW w:w="6106" w:type="dxa"/>
            <w:gridSpan w:val="3"/>
            <w:tcBorders>
              <w:right w:val="single" w:color="auto" w:sz="4" w:space="0"/>
            </w:tcBorders>
            <w:vAlign w:val="center"/>
          </w:tcPr>
          <w:p>
            <w:pPr>
              <w:spacing w:line="240" w:lineRule="auto"/>
              <w:ind w:right="-175" w:rightChars="-73" w:firstLine="0" w:firstLineChars="0"/>
              <w:jc w:val="left"/>
              <w:rPr>
                <w:rFonts w:cs="Times New Roman"/>
                <w:color w:val="auto"/>
                <w:sz w:val="21"/>
                <w:szCs w:val="21"/>
              </w:rPr>
            </w:pPr>
            <w:r>
              <w:rPr>
                <w:rFonts w:cs="Times New Roman"/>
                <w:color w:val="auto"/>
                <w:sz w:val="21"/>
                <w:szCs w:val="21"/>
              </w:rPr>
              <w:t>限值执行《加油站大气污染物排放标准》（GB 20952-2020）表1 加油站油气回收管线液阻最大压力限值。</w:t>
            </w:r>
          </w:p>
        </w:tc>
      </w:tr>
    </w:tbl>
    <w:p>
      <w:pPr>
        <w:pStyle w:val="35"/>
        <w:rPr>
          <w:color w:val="auto"/>
        </w:rPr>
      </w:pPr>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color w:val="auto"/>
        </w:rPr>
        <w:t>9.2</w:t>
      </w:r>
      <w:r>
        <w:rPr>
          <w:color w:val="auto"/>
        </w:rPr>
        <w:fldChar w:fldCharType="end"/>
      </w:r>
      <w:r>
        <w:rPr>
          <w:color w:val="auto"/>
        </w:rPr>
        <w:noBreakHyphen/>
      </w:r>
      <w:r>
        <w:rPr>
          <w:rFonts w:hint="eastAsia"/>
          <w:color w:val="auto"/>
        </w:rPr>
        <w:t>8</w:t>
      </w:r>
      <w:r>
        <w:rPr>
          <w:color w:val="auto"/>
        </w:rPr>
        <w:t xml:space="preserve"> </w:t>
      </w:r>
      <w:r>
        <w:rPr>
          <w:rFonts w:hint="eastAsia"/>
          <w:color w:val="auto"/>
        </w:rPr>
        <w:t>气液比检测结果</w:t>
      </w:r>
    </w:p>
    <w:tbl>
      <w:tblPr>
        <w:tblStyle w:val="22"/>
        <w:tblW w:w="852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6"/>
        <w:gridCol w:w="1019"/>
        <w:gridCol w:w="871"/>
        <w:gridCol w:w="1065"/>
        <w:gridCol w:w="1065"/>
        <w:gridCol w:w="1065"/>
        <w:gridCol w:w="1174"/>
        <w:gridCol w:w="9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2325" w:type="dxa"/>
            <w:gridSpan w:val="2"/>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检测前泄漏检查（Pa）</w:t>
            </w:r>
          </w:p>
        </w:tc>
        <w:tc>
          <w:tcPr>
            <w:tcW w:w="1936" w:type="dxa"/>
            <w:gridSpan w:val="2"/>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初始/最终压力：</w:t>
            </w:r>
          </w:p>
          <w:p>
            <w:pPr>
              <w:spacing w:line="240" w:lineRule="auto"/>
              <w:ind w:firstLine="0" w:firstLineChars="0"/>
              <w:jc w:val="center"/>
              <w:rPr>
                <w:rFonts w:cs="Times New Roman"/>
                <w:color w:val="auto"/>
                <w:sz w:val="21"/>
                <w:szCs w:val="21"/>
              </w:rPr>
            </w:pPr>
            <w:r>
              <w:rPr>
                <w:rFonts w:cs="Times New Roman"/>
                <w:color w:val="auto"/>
                <w:sz w:val="21"/>
                <w:szCs w:val="21"/>
              </w:rPr>
              <w:t>1245（</w:t>
            </w:r>
            <w:r>
              <w:rPr>
                <w:rFonts w:hint="eastAsia" w:cs="Times New Roman"/>
                <w:color w:val="auto"/>
                <w:sz w:val="21"/>
                <w:szCs w:val="21"/>
              </w:rPr>
              <w:t>1305</w:t>
            </w:r>
            <w:r>
              <w:rPr>
                <w:rFonts w:cs="Times New Roman"/>
                <w:color w:val="auto"/>
                <w:sz w:val="21"/>
                <w:szCs w:val="21"/>
              </w:rPr>
              <w:t>）/</w:t>
            </w:r>
            <w:r>
              <w:rPr>
                <w:rFonts w:hint="eastAsia" w:cs="Times New Roman"/>
                <w:color w:val="auto"/>
                <w:sz w:val="21"/>
                <w:szCs w:val="21"/>
              </w:rPr>
              <w:t>1317</w:t>
            </w:r>
          </w:p>
        </w:tc>
        <w:tc>
          <w:tcPr>
            <w:tcW w:w="2130" w:type="dxa"/>
            <w:gridSpan w:val="2"/>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气液比限值范围</w:t>
            </w:r>
          </w:p>
        </w:tc>
        <w:tc>
          <w:tcPr>
            <w:tcW w:w="2130" w:type="dxa"/>
            <w:gridSpan w:val="2"/>
            <w:vMerge w:val="restart"/>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大于等于1.0且小于等于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2325" w:type="dxa"/>
            <w:gridSpan w:val="2"/>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检测后泄漏检查（Pa）</w:t>
            </w:r>
          </w:p>
        </w:tc>
        <w:tc>
          <w:tcPr>
            <w:tcW w:w="1936" w:type="dxa"/>
            <w:gridSpan w:val="2"/>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初始/最终压力：</w:t>
            </w:r>
          </w:p>
          <w:p>
            <w:pPr>
              <w:spacing w:line="240" w:lineRule="auto"/>
              <w:ind w:firstLine="0" w:firstLineChars="0"/>
              <w:jc w:val="center"/>
              <w:rPr>
                <w:rFonts w:cs="Times New Roman"/>
                <w:color w:val="auto"/>
                <w:sz w:val="21"/>
                <w:szCs w:val="21"/>
              </w:rPr>
            </w:pPr>
            <w:r>
              <w:rPr>
                <w:rFonts w:cs="Times New Roman"/>
                <w:color w:val="auto"/>
                <w:sz w:val="21"/>
                <w:szCs w:val="21"/>
              </w:rPr>
              <w:t>1245（</w:t>
            </w:r>
            <w:r>
              <w:rPr>
                <w:rFonts w:hint="eastAsia" w:cs="Times New Roman"/>
                <w:color w:val="auto"/>
                <w:sz w:val="21"/>
                <w:szCs w:val="21"/>
              </w:rPr>
              <w:t>1270</w:t>
            </w:r>
            <w:r>
              <w:rPr>
                <w:rFonts w:cs="Times New Roman"/>
                <w:color w:val="auto"/>
                <w:sz w:val="21"/>
                <w:szCs w:val="21"/>
              </w:rPr>
              <w:t>）/</w:t>
            </w:r>
            <w:r>
              <w:rPr>
                <w:rFonts w:hint="eastAsia" w:cs="Times New Roman"/>
                <w:color w:val="auto"/>
                <w:sz w:val="21"/>
                <w:szCs w:val="21"/>
              </w:rPr>
              <w:t>1270</w:t>
            </w:r>
          </w:p>
        </w:tc>
        <w:tc>
          <w:tcPr>
            <w:tcW w:w="2130" w:type="dxa"/>
            <w:gridSpan w:val="2"/>
            <w:vMerge w:val="continue"/>
            <w:vAlign w:val="center"/>
          </w:tcPr>
          <w:p>
            <w:pPr>
              <w:spacing w:line="240" w:lineRule="auto"/>
              <w:ind w:firstLine="0" w:firstLineChars="0"/>
              <w:jc w:val="center"/>
              <w:rPr>
                <w:rFonts w:cs="Times New Roman"/>
                <w:color w:val="auto"/>
                <w:sz w:val="21"/>
                <w:szCs w:val="21"/>
              </w:rPr>
            </w:pPr>
          </w:p>
        </w:tc>
        <w:tc>
          <w:tcPr>
            <w:tcW w:w="2130" w:type="dxa"/>
            <w:gridSpan w:val="2"/>
            <w:vMerge w:val="continue"/>
            <w:tcBorders>
              <w:right w:val="single" w:color="auto" w:sz="4" w:space="0"/>
            </w:tcBorders>
            <w:vAlign w:val="center"/>
          </w:tcPr>
          <w:p>
            <w:pPr>
              <w:spacing w:line="240" w:lineRule="auto"/>
              <w:ind w:firstLine="0" w:firstLineChars="0"/>
              <w:jc w:val="center"/>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306"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加油枪编号</w:t>
            </w:r>
          </w:p>
        </w:tc>
        <w:tc>
          <w:tcPr>
            <w:tcW w:w="1019"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加油枪品牌</w:t>
            </w:r>
          </w:p>
          <w:p>
            <w:pPr>
              <w:spacing w:line="240" w:lineRule="auto"/>
              <w:ind w:firstLine="0" w:firstLineChars="0"/>
              <w:jc w:val="center"/>
              <w:rPr>
                <w:rFonts w:cs="Times New Roman"/>
                <w:color w:val="auto"/>
                <w:sz w:val="21"/>
                <w:szCs w:val="21"/>
              </w:rPr>
            </w:pPr>
            <w:r>
              <w:rPr>
                <w:rFonts w:cs="Times New Roman"/>
                <w:color w:val="auto"/>
                <w:sz w:val="21"/>
                <w:szCs w:val="21"/>
              </w:rPr>
              <w:t>和型号</w:t>
            </w:r>
          </w:p>
        </w:tc>
        <w:tc>
          <w:tcPr>
            <w:tcW w:w="871"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加油体积</w:t>
            </w:r>
          </w:p>
          <w:p>
            <w:pPr>
              <w:spacing w:line="240" w:lineRule="auto"/>
              <w:ind w:firstLine="0" w:firstLineChars="0"/>
              <w:jc w:val="center"/>
              <w:rPr>
                <w:rFonts w:cs="Times New Roman"/>
                <w:color w:val="auto"/>
                <w:sz w:val="21"/>
                <w:szCs w:val="21"/>
              </w:rPr>
            </w:pPr>
            <w:r>
              <w:rPr>
                <w:rFonts w:cs="Times New Roman"/>
                <w:color w:val="auto"/>
                <w:sz w:val="21"/>
                <w:szCs w:val="21"/>
              </w:rPr>
              <w:t>L</w:t>
            </w:r>
          </w:p>
        </w:tc>
        <w:tc>
          <w:tcPr>
            <w:tcW w:w="1065"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实际加油流量L/min</w:t>
            </w:r>
          </w:p>
        </w:tc>
        <w:tc>
          <w:tcPr>
            <w:tcW w:w="1065"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回收油气体积L</w:t>
            </w:r>
          </w:p>
        </w:tc>
        <w:tc>
          <w:tcPr>
            <w:tcW w:w="1065"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气液比</w:t>
            </w:r>
          </w:p>
        </w:tc>
        <w:tc>
          <w:tcPr>
            <w:tcW w:w="1174"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检测</w:t>
            </w:r>
          </w:p>
          <w:p>
            <w:pPr>
              <w:spacing w:line="240" w:lineRule="auto"/>
              <w:ind w:firstLine="0" w:firstLineChars="0"/>
              <w:jc w:val="center"/>
              <w:rPr>
                <w:rFonts w:cs="Times New Roman"/>
                <w:color w:val="auto"/>
                <w:sz w:val="21"/>
                <w:szCs w:val="21"/>
              </w:rPr>
            </w:pPr>
            <w:r>
              <w:rPr>
                <w:rFonts w:cs="Times New Roman"/>
                <w:color w:val="auto"/>
                <w:sz w:val="21"/>
                <w:szCs w:val="21"/>
              </w:rPr>
              <w:t xml:space="preserve">类型 </w:t>
            </w:r>
          </w:p>
        </w:tc>
        <w:tc>
          <w:tcPr>
            <w:tcW w:w="95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是否达标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306"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19（92#）</w:t>
            </w:r>
          </w:p>
        </w:tc>
        <w:tc>
          <w:tcPr>
            <w:tcW w:w="1019"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opw</w:t>
            </w:r>
          </w:p>
        </w:tc>
        <w:tc>
          <w:tcPr>
            <w:tcW w:w="871"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15.82</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28.764</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16.08</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1.016</w:t>
            </w:r>
          </w:p>
        </w:tc>
        <w:tc>
          <w:tcPr>
            <w:tcW w:w="1174"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单枪检测</w:t>
            </w:r>
          </w:p>
        </w:tc>
        <w:tc>
          <w:tcPr>
            <w:tcW w:w="95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306"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22（92#）</w:t>
            </w:r>
          </w:p>
        </w:tc>
        <w:tc>
          <w:tcPr>
            <w:tcW w:w="1019"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opw</w:t>
            </w:r>
          </w:p>
        </w:tc>
        <w:tc>
          <w:tcPr>
            <w:tcW w:w="871"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15.35</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29.710</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15.40</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1.003</w:t>
            </w:r>
          </w:p>
        </w:tc>
        <w:tc>
          <w:tcPr>
            <w:tcW w:w="1174"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单枪检测</w:t>
            </w:r>
          </w:p>
        </w:tc>
        <w:tc>
          <w:tcPr>
            <w:tcW w:w="95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306"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1（92#）</w:t>
            </w:r>
          </w:p>
        </w:tc>
        <w:tc>
          <w:tcPr>
            <w:tcW w:w="1019"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opw</w:t>
            </w:r>
          </w:p>
        </w:tc>
        <w:tc>
          <w:tcPr>
            <w:tcW w:w="871"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15.32</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35.354</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16.36</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1.068</w:t>
            </w:r>
          </w:p>
        </w:tc>
        <w:tc>
          <w:tcPr>
            <w:tcW w:w="1174"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单枪检测</w:t>
            </w:r>
          </w:p>
        </w:tc>
        <w:tc>
          <w:tcPr>
            <w:tcW w:w="95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306"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4（92#）</w:t>
            </w:r>
          </w:p>
        </w:tc>
        <w:tc>
          <w:tcPr>
            <w:tcW w:w="1019"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opw</w:t>
            </w:r>
          </w:p>
        </w:tc>
        <w:tc>
          <w:tcPr>
            <w:tcW w:w="871"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15.47</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40.357</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17.72</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1.145</w:t>
            </w:r>
          </w:p>
        </w:tc>
        <w:tc>
          <w:tcPr>
            <w:tcW w:w="1174"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单枪检测</w:t>
            </w:r>
          </w:p>
        </w:tc>
        <w:tc>
          <w:tcPr>
            <w:tcW w:w="95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306"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12（92#）</w:t>
            </w:r>
          </w:p>
        </w:tc>
        <w:tc>
          <w:tcPr>
            <w:tcW w:w="1019"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opw</w:t>
            </w:r>
          </w:p>
        </w:tc>
        <w:tc>
          <w:tcPr>
            <w:tcW w:w="871"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15.32</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27.035</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15.88</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1.037</w:t>
            </w:r>
          </w:p>
        </w:tc>
        <w:tc>
          <w:tcPr>
            <w:tcW w:w="1174"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单枪检测</w:t>
            </w:r>
          </w:p>
        </w:tc>
        <w:tc>
          <w:tcPr>
            <w:tcW w:w="95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306"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9（92#）</w:t>
            </w:r>
          </w:p>
        </w:tc>
        <w:tc>
          <w:tcPr>
            <w:tcW w:w="1019"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opw</w:t>
            </w:r>
          </w:p>
        </w:tc>
        <w:tc>
          <w:tcPr>
            <w:tcW w:w="871"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15.82</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27.918</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16.20</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1.024</w:t>
            </w:r>
          </w:p>
        </w:tc>
        <w:tc>
          <w:tcPr>
            <w:tcW w:w="1174"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单枪检测</w:t>
            </w:r>
          </w:p>
        </w:tc>
        <w:tc>
          <w:tcPr>
            <w:tcW w:w="95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306"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25（92#）</w:t>
            </w:r>
          </w:p>
        </w:tc>
        <w:tc>
          <w:tcPr>
            <w:tcW w:w="1019"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opw</w:t>
            </w:r>
          </w:p>
        </w:tc>
        <w:tc>
          <w:tcPr>
            <w:tcW w:w="871"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15.36</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43.886</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17.08</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1.112</w:t>
            </w:r>
          </w:p>
        </w:tc>
        <w:tc>
          <w:tcPr>
            <w:tcW w:w="1174"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单枪检测</w:t>
            </w:r>
          </w:p>
        </w:tc>
        <w:tc>
          <w:tcPr>
            <w:tcW w:w="95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306"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28（92#）</w:t>
            </w:r>
          </w:p>
        </w:tc>
        <w:tc>
          <w:tcPr>
            <w:tcW w:w="1019"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opw</w:t>
            </w:r>
          </w:p>
        </w:tc>
        <w:tc>
          <w:tcPr>
            <w:tcW w:w="871"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15.35</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32.893</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16.08</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1.048</w:t>
            </w:r>
          </w:p>
        </w:tc>
        <w:tc>
          <w:tcPr>
            <w:tcW w:w="1174"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单枪检测</w:t>
            </w:r>
          </w:p>
        </w:tc>
        <w:tc>
          <w:tcPr>
            <w:tcW w:w="95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306"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26（95#）</w:t>
            </w:r>
          </w:p>
        </w:tc>
        <w:tc>
          <w:tcPr>
            <w:tcW w:w="1019"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opw</w:t>
            </w:r>
          </w:p>
        </w:tc>
        <w:tc>
          <w:tcPr>
            <w:tcW w:w="871"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15.57</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38.925</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18.32</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1.177</w:t>
            </w:r>
          </w:p>
        </w:tc>
        <w:tc>
          <w:tcPr>
            <w:tcW w:w="1174"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单枪检测</w:t>
            </w:r>
          </w:p>
        </w:tc>
        <w:tc>
          <w:tcPr>
            <w:tcW w:w="95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306"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29（95#）</w:t>
            </w:r>
          </w:p>
        </w:tc>
        <w:tc>
          <w:tcPr>
            <w:tcW w:w="1019"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opw</w:t>
            </w:r>
          </w:p>
        </w:tc>
        <w:tc>
          <w:tcPr>
            <w:tcW w:w="871"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15.80</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32.690</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16.16</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1.023</w:t>
            </w:r>
          </w:p>
        </w:tc>
        <w:tc>
          <w:tcPr>
            <w:tcW w:w="1174"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单枪检测</w:t>
            </w:r>
          </w:p>
        </w:tc>
        <w:tc>
          <w:tcPr>
            <w:tcW w:w="95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306"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23（95#）</w:t>
            </w:r>
          </w:p>
        </w:tc>
        <w:tc>
          <w:tcPr>
            <w:tcW w:w="1019"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opw</w:t>
            </w:r>
          </w:p>
        </w:tc>
        <w:tc>
          <w:tcPr>
            <w:tcW w:w="871"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15.37</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35.469</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16.32</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1.062</w:t>
            </w:r>
          </w:p>
        </w:tc>
        <w:tc>
          <w:tcPr>
            <w:tcW w:w="1174"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单枪检测</w:t>
            </w:r>
          </w:p>
        </w:tc>
        <w:tc>
          <w:tcPr>
            <w:tcW w:w="95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306"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20（95#）</w:t>
            </w:r>
          </w:p>
        </w:tc>
        <w:tc>
          <w:tcPr>
            <w:tcW w:w="1019"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opw</w:t>
            </w:r>
          </w:p>
        </w:tc>
        <w:tc>
          <w:tcPr>
            <w:tcW w:w="871"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15.34</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34.089</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16.36</w:t>
            </w:r>
          </w:p>
        </w:tc>
        <w:tc>
          <w:tcPr>
            <w:tcW w:w="1065"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1.066</w:t>
            </w:r>
          </w:p>
        </w:tc>
        <w:tc>
          <w:tcPr>
            <w:tcW w:w="1174"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单枪检测</w:t>
            </w:r>
          </w:p>
        </w:tc>
        <w:tc>
          <w:tcPr>
            <w:tcW w:w="956"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306"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环境条件</w:t>
            </w:r>
          </w:p>
        </w:tc>
        <w:tc>
          <w:tcPr>
            <w:tcW w:w="7215" w:type="dxa"/>
            <w:gridSpan w:val="7"/>
            <w:tcBorders>
              <w:right w:val="single" w:color="auto" w:sz="4" w:space="0"/>
            </w:tcBorders>
            <w:vAlign w:val="center"/>
          </w:tcPr>
          <w:p>
            <w:pPr>
              <w:spacing w:line="240" w:lineRule="auto"/>
              <w:ind w:right="-175" w:rightChars="-73" w:firstLine="0" w:firstLineChars="0"/>
              <w:jc w:val="left"/>
              <w:rPr>
                <w:rFonts w:cs="Times New Roman"/>
                <w:color w:val="auto"/>
                <w:sz w:val="21"/>
                <w:szCs w:val="21"/>
              </w:rPr>
            </w:pPr>
            <w:r>
              <w:rPr>
                <w:rFonts w:cs="Times New Roman"/>
                <w:color w:val="auto"/>
                <w:sz w:val="21"/>
                <w:szCs w:val="21"/>
              </w:rPr>
              <w:t>天气状况：</w:t>
            </w:r>
            <w:r>
              <w:rPr>
                <w:rFonts w:hint="eastAsia" w:cs="Times New Roman"/>
                <w:color w:val="auto"/>
                <w:sz w:val="21"/>
                <w:szCs w:val="21"/>
              </w:rPr>
              <w:t>晴</w:t>
            </w:r>
            <w:r>
              <w:rPr>
                <w:rFonts w:cs="Times New Roman"/>
                <w:color w:val="auto"/>
                <w:sz w:val="21"/>
                <w:szCs w:val="21"/>
              </w:rPr>
              <w:t xml:space="preserve">     环境温度（℃）：</w:t>
            </w:r>
            <w:r>
              <w:rPr>
                <w:rFonts w:hint="eastAsia" w:cs="Times New Roman"/>
                <w:color w:val="auto"/>
                <w:sz w:val="21"/>
                <w:szCs w:val="21"/>
              </w:rPr>
              <w:t>28.7</w:t>
            </w:r>
            <w:r>
              <w:rPr>
                <w:rFonts w:cs="Times New Roman"/>
                <w:color w:val="auto"/>
                <w:sz w:val="21"/>
                <w:szCs w:val="21"/>
              </w:rPr>
              <w:t xml:space="preserve">    大气压（kPa）：</w:t>
            </w:r>
            <w:r>
              <w:rPr>
                <w:rFonts w:hint="eastAsia" w:cs="Times New Roman"/>
                <w:color w:val="auto"/>
                <w:sz w:val="21"/>
                <w:szCs w:val="21"/>
              </w:rPr>
              <w:t>100.7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306"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备注</w:t>
            </w:r>
          </w:p>
        </w:tc>
        <w:tc>
          <w:tcPr>
            <w:tcW w:w="7215" w:type="dxa"/>
            <w:gridSpan w:val="7"/>
            <w:tcBorders>
              <w:right w:val="single" w:color="auto" w:sz="4" w:space="0"/>
            </w:tcBorders>
            <w:vAlign w:val="center"/>
          </w:tcPr>
          <w:p>
            <w:pPr>
              <w:spacing w:line="240" w:lineRule="auto"/>
              <w:ind w:right="-175" w:rightChars="-73" w:firstLine="0" w:firstLineChars="0"/>
              <w:jc w:val="left"/>
              <w:rPr>
                <w:rFonts w:cs="Times New Roman"/>
                <w:color w:val="auto"/>
                <w:sz w:val="21"/>
                <w:szCs w:val="21"/>
              </w:rPr>
            </w:pPr>
            <w:r>
              <w:rPr>
                <w:rFonts w:cs="Times New Roman"/>
                <w:color w:val="auto"/>
                <w:sz w:val="21"/>
                <w:szCs w:val="21"/>
              </w:rPr>
              <w:t>限值执行《加油站大气污染物排放标准》（GB 20952-2020）条款5.3。</w:t>
            </w:r>
          </w:p>
        </w:tc>
      </w:tr>
    </w:tbl>
    <w:p>
      <w:pPr>
        <w:ind w:firstLine="480"/>
        <w:rPr>
          <w:color w:val="auto"/>
        </w:rPr>
      </w:pPr>
      <w:r>
        <w:rPr>
          <w:rFonts w:hint="eastAsia"/>
          <w:color w:val="auto"/>
        </w:rPr>
        <w:t>根据表9.2-6至表9.2-8的检测结果可知，油气回收系统密闭性、液阻和气液比均符合《加油站大气污染物排放标准》GB20952-2020要求。</w:t>
      </w:r>
    </w:p>
    <w:p>
      <w:pPr>
        <w:pStyle w:val="35"/>
        <w:ind w:firstLine="420"/>
        <w:rPr>
          <w:color w:val="auto"/>
        </w:rPr>
      </w:pPr>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color w:val="auto"/>
        </w:rPr>
        <w:t>9.2</w:t>
      </w:r>
      <w:r>
        <w:rPr>
          <w:color w:val="auto"/>
        </w:rPr>
        <w:fldChar w:fldCharType="end"/>
      </w:r>
      <w:r>
        <w:rPr>
          <w:color w:val="auto"/>
        </w:rPr>
        <w:noBreakHyphen/>
      </w:r>
      <w:r>
        <w:rPr>
          <w:rFonts w:hint="eastAsia"/>
          <w:color w:val="auto"/>
        </w:rPr>
        <w:t>9</w:t>
      </w:r>
      <w:r>
        <w:rPr>
          <w:color w:val="auto"/>
        </w:rPr>
        <w:t xml:space="preserve"> </w:t>
      </w:r>
      <w:r>
        <w:rPr>
          <w:rFonts w:hint="eastAsia"/>
          <w:color w:val="auto"/>
        </w:rPr>
        <w:t>油气处理装置检测结果</w:t>
      </w:r>
    </w:p>
    <w:tbl>
      <w:tblPr>
        <w:tblStyle w:val="22"/>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0"/>
        <w:gridCol w:w="1420"/>
        <w:gridCol w:w="1421"/>
        <w:gridCol w:w="1420"/>
        <w:gridCol w:w="1420"/>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4261" w:type="dxa"/>
            <w:gridSpan w:val="3"/>
            <w:tcBorders>
              <w:left w:val="single" w:color="auto" w:sz="4" w:space="0"/>
              <w:right w:val="single" w:color="auto" w:sz="4" w:space="0"/>
            </w:tcBorders>
            <w:vAlign w:val="center"/>
          </w:tcPr>
          <w:p>
            <w:pPr>
              <w:spacing w:line="240" w:lineRule="auto"/>
              <w:ind w:firstLine="0" w:firstLineChars="0"/>
              <w:rPr>
                <w:rFonts w:cs="Times New Roman"/>
                <w:color w:val="auto"/>
                <w:sz w:val="21"/>
                <w:szCs w:val="21"/>
              </w:rPr>
            </w:pPr>
            <w:r>
              <w:rPr>
                <w:rFonts w:cs="Times New Roman"/>
                <w:color w:val="auto"/>
                <w:sz w:val="21"/>
                <w:szCs w:val="21"/>
              </w:rPr>
              <w:t>装置型号：</w:t>
            </w:r>
            <w:r>
              <w:rPr>
                <w:rFonts w:hint="eastAsia" w:cs="Times New Roman"/>
                <w:color w:val="auto"/>
                <w:sz w:val="21"/>
                <w:szCs w:val="21"/>
              </w:rPr>
              <w:t>TN-LN-1</w:t>
            </w:r>
          </w:p>
        </w:tc>
        <w:tc>
          <w:tcPr>
            <w:tcW w:w="4261" w:type="dxa"/>
            <w:gridSpan w:val="3"/>
            <w:tcBorders>
              <w:left w:val="single" w:color="auto" w:sz="4" w:space="0"/>
              <w:right w:val="single" w:color="auto" w:sz="4" w:space="0"/>
            </w:tcBorders>
            <w:vAlign w:val="center"/>
          </w:tcPr>
          <w:p>
            <w:pPr>
              <w:spacing w:line="240" w:lineRule="auto"/>
              <w:ind w:firstLine="0" w:firstLineChars="0"/>
              <w:rPr>
                <w:rFonts w:cs="Times New Roman"/>
                <w:color w:val="auto"/>
                <w:sz w:val="21"/>
                <w:szCs w:val="21"/>
              </w:rPr>
            </w:pPr>
            <w:r>
              <w:rPr>
                <w:rFonts w:cs="Times New Roman"/>
                <w:color w:val="auto"/>
                <w:sz w:val="21"/>
                <w:szCs w:val="21"/>
              </w:rPr>
              <w:t>装置品牌：</w:t>
            </w:r>
            <w:r>
              <w:rPr>
                <w:rFonts w:hint="eastAsia" w:cs="Times New Roman"/>
                <w:color w:val="auto"/>
                <w:sz w:val="21"/>
                <w:szCs w:val="21"/>
              </w:rPr>
              <w:t>泰宁胜通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4261" w:type="dxa"/>
            <w:gridSpan w:val="3"/>
            <w:tcBorders>
              <w:left w:val="single" w:color="auto" w:sz="4" w:space="0"/>
              <w:right w:val="single" w:color="auto" w:sz="4" w:space="0"/>
            </w:tcBorders>
            <w:vAlign w:val="center"/>
          </w:tcPr>
          <w:p>
            <w:pPr>
              <w:spacing w:line="240" w:lineRule="auto"/>
              <w:ind w:firstLine="0" w:firstLineChars="0"/>
              <w:rPr>
                <w:rFonts w:cs="Times New Roman"/>
                <w:color w:val="auto"/>
                <w:sz w:val="21"/>
                <w:szCs w:val="21"/>
              </w:rPr>
            </w:pPr>
            <w:r>
              <w:rPr>
                <w:rFonts w:cs="Times New Roman"/>
                <w:color w:val="auto"/>
                <w:sz w:val="21"/>
                <w:szCs w:val="21"/>
              </w:rPr>
              <w:t>处理方法：</w:t>
            </w:r>
            <w:r>
              <w:rPr>
                <w:rFonts w:hint="eastAsia" w:cs="Times New Roman"/>
                <w:color w:val="auto"/>
                <w:sz w:val="21"/>
                <w:szCs w:val="21"/>
              </w:rPr>
              <w:t>冷凝+活性炭吸脱附</w:t>
            </w:r>
          </w:p>
        </w:tc>
        <w:tc>
          <w:tcPr>
            <w:tcW w:w="4261" w:type="dxa"/>
            <w:gridSpan w:val="3"/>
            <w:tcBorders>
              <w:left w:val="single" w:color="auto" w:sz="4" w:space="0"/>
              <w:right w:val="single" w:color="auto" w:sz="4" w:space="0"/>
            </w:tcBorders>
            <w:vAlign w:val="center"/>
          </w:tcPr>
          <w:p>
            <w:pPr>
              <w:spacing w:line="240" w:lineRule="auto"/>
              <w:ind w:firstLine="0" w:firstLineChars="0"/>
              <w:rPr>
                <w:rFonts w:cs="Times New Roman"/>
                <w:color w:val="auto"/>
                <w:sz w:val="21"/>
                <w:szCs w:val="21"/>
              </w:rPr>
            </w:pPr>
            <w:r>
              <w:rPr>
                <w:rFonts w:cs="Times New Roman"/>
                <w:color w:val="auto"/>
                <w:sz w:val="21"/>
                <w:szCs w:val="21"/>
              </w:rPr>
              <w:t>生产厂家：</w:t>
            </w:r>
            <w:r>
              <w:rPr>
                <w:rFonts w:hint="eastAsia" w:cs="Times New Roman"/>
                <w:color w:val="auto"/>
                <w:sz w:val="21"/>
                <w:szCs w:val="21"/>
              </w:rPr>
              <w:t>河北泰宁胜通电子产品制造有限公司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420" w:type="dxa"/>
            <w:vMerge w:val="restart"/>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处理装置</w:t>
            </w:r>
          </w:p>
        </w:tc>
        <w:tc>
          <w:tcPr>
            <w:tcW w:w="5681" w:type="dxa"/>
            <w:gridSpan w:val="4"/>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油气排放浓度 （g/m</w:t>
            </w:r>
            <w:r>
              <w:rPr>
                <w:rFonts w:cs="Times New Roman"/>
                <w:color w:val="auto"/>
                <w:sz w:val="21"/>
                <w:szCs w:val="21"/>
                <w:vertAlign w:val="superscript"/>
              </w:rPr>
              <w:t>3</w:t>
            </w:r>
            <w:r>
              <w:rPr>
                <w:rFonts w:cs="Times New Roman"/>
                <w:color w:val="auto"/>
                <w:sz w:val="21"/>
                <w:szCs w:val="21"/>
              </w:rPr>
              <w:t>）</w:t>
            </w:r>
          </w:p>
        </w:tc>
        <w:tc>
          <w:tcPr>
            <w:tcW w:w="1421" w:type="dxa"/>
            <w:vMerge w:val="restart"/>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处理装置高度</w:t>
            </w:r>
          </w:p>
          <w:p>
            <w:pPr>
              <w:spacing w:line="240" w:lineRule="auto"/>
              <w:ind w:firstLine="0" w:firstLineChars="0"/>
              <w:jc w:val="center"/>
              <w:rPr>
                <w:rFonts w:cs="Times New Roman"/>
                <w:color w:val="auto"/>
                <w:sz w:val="21"/>
                <w:szCs w:val="21"/>
              </w:rPr>
            </w:pPr>
            <w:r>
              <w:rPr>
                <w:rFonts w:hint="eastAsia" w:cs="Times New Roman"/>
                <w:color w:val="auto"/>
                <w:sz w:val="21"/>
                <w:szCs w:val="21"/>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420" w:type="dxa"/>
            <w:vMerge w:val="continue"/>
            <w:tcBorders>
              <w:left w:val="single" w:color="auto" w:sz="4" w:space="0"/>
            </w:tcBorders>
            <w:vAlign w:val="center"/>
          </w:tcPr>
          <w:p>
            <w:pPr>
              <w:spacing w:line="240" w:lineRule="auto"/>
              <w:ind w:firstLine="0" w:firstLineChars="0"/>
              <w:jc w:val="center"/>
              <w:rPr>
                <w:rFonts w:cs="Times New Roman"/>
                <w:color w:val="auto"/>
                <w:sz w:val="21"/>
                <w:szCs w:val="21"/>
              </w:rPr>
            </w:pPr>
          </w:p>
        </w:tc>
        <w:tc>
          <w:tcPr>
            <w:tcW w:w="1420"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样品1</w:t>
            </w:r>
          </w:p>
        </w:tc>
        <w:tc>
          <w:tcPr>
            <w:tcW w:w="1421"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样品2</w:t>
            </w:r>
          </w:p>
        </w:tc>
        <w:tc>
          <w:tcPr>
            <w:tcW w:w="1420"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样品3</w:t>
            </w:r>
          </w:p>
        </w:tc>
        <w:tc>
          <w:tcPr>
            <w:tcW w:w="1420"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平均值</w:t>
            </w:r>
          </w:p>
        </w:tc>
        <w:tc>
          <w:tcPr>
            <w:tcW w:w="1421" w:type="dxa"/>
            <w:vMerge w:val="continue"/>
            <w:tcBorders>
              <w:right w:val="single" w:color="auto" w:sz="4" w:space="0"/>
            </w:tcBorders>
            <w:vAlign w:val="center"/>
          </w:tcPr>
          <w:p>
            <w:pPr>
              <w:spacing w:line="240" w:lineRule="auto"/>
              <w:ind w:firstLine="0" w:firstLineChars="0"/>
              <w:jc w:val="center"/>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420"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油气回收装置</w:t>
            </w:r>
          </w:p>
        </w:tc>
        <w:tc>
          <w:tcPr>
            <w:tcW w:w="1420"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9.58</w:t>
            </w:r>
            <w:r>
              <w:rPr>
                <w:rFonts w:cs="Times New Roman"/>
                <w:color w:val="auto"/>
                <w:sz w:val="21"/>
                <w:szCs w:val="21"/>
              </w:rPr>
              <w:t>×10</w:t>
            </w:r>
            <w:r>
              <w:rPr>
                <w:rFonts w:cs="Times New Roman"/>
                <w:color w:val="auto"/>
                <w:sz w:val="21"/>
                <w:szCs w:val="21"/>
                <w:vertAlign w:val="superscript"/>
              </w:rPr>
              <w:t>-3</w:t>
            </w:r>
          </w:p>
        </w:tc>
        <w:tc>
          <w:tcPr>
            <w:tcW w:w="1421"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9.31</w:t>
            </w:r>
            <w:r>
              <w:rPr>
                <w:rFonts w:cs="Times New Roman"/>
                <w:color w:val="auto"/>
                <w:sz w:val="21"/>
                <w:szCs w:val="21"/>
              </w:rPr>
              <w:t>×10</w:t>
            </w:r>
            <w:r>
              <w:rPr>
                <w:rFonts w:cs="Times New Roman"/>
                <w:color w:val="auto"/>
                <w:sz w:val="21"/>
                <w:szCs w:val="21"/>
                <w:vertAlign w:val="superscript"/>
              </w:rPr>
              <w:t>-3</w:t>
            </w:r>
          </w:p>
        </w:tc>
        <w:tc>
          <w:tcPr>
            <w:tcW w:w="1420" w:type="dxa"/>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9.40</w:t>
            </w:r>
            <w:r>
              <w:rPr>
                <w:rFonts w:cs="Times New Roman"/>
                <w:color w:val="auto"/>
                <w:sz w:val="21"/>
                <w:szCs w:val="21"/>
              </w:rPr>
              <w:t>×10</w:t>
            </w:r>
            <w:r>
              <w:rPr>
                <w:rFonts w:cs="Times New Roman"/>
                <w:color w:val="auto"/>
                <w:sz w:val="21"/>
                <w:szCs w:val="21"/>
                <w:vertAlign w:val="superscript"/>
              </w:rPr>
              <w:t>-3</w:t>
            </w:r>
          </w:p>
        </w:tc>
        <w:tc>
          <w:tcPr>
            <w:tcW w:w="1420"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9.43</w:t>
            </w:r>
            <w:r>
              <w:rPr>
                <w:rFonts w:cs="Times New Roman"/>
                <w:color w:val="auto"/>
                <w:sz w:val="21"/>
                <w:szCs w:val="21"/>
              </w:rPr>
              <w:t>×10</w:t>
            </w:r>
            <w:r>
              <w:rPr>
                <w:rFonts w:cs="Times New Roman"/>
                <w:color w:val="auto"/>
                <w:sz w:val="21"/>
                <w:szCs w:val="21"/>
                <w:vertAlign w:val="superscript"/>
              </w:rPr>
              <w:t>-3</w:t>
            </w:r>
          </w:p>
        </w:tc>
        <w:tc>
          <w:tcPr>
            <w:tcW w:w="1421" w:type="dxa"/>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420"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标准限值</w:t>
            </w:r>
          </w:p>
        </w:tc>
        <w:tc>
          <w:tcPr>
            <w:tcW w:w="7102" w:type="dxa"/>
            <w:gridSpan w:val="5"/>
            <w:tcBorders>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420"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环境条件</w:t>
            </w:r>
          </w:p>
        </w:tc>
        <w:tc>
          <w:tcPr>
            <w:tcW w:w="7102" w:type="dxa"/>
            <w:gridSpan w:val="5"/>
            <w:tcBorders>
              <w:right w:val="single" w:color="auto" w:sz="4" w:space="0"/>
            </w:tcBorders>
            <w:vAlign w:val="center"/>
          </w:tcPr>
          <w:p>
            <w:pPr>
              <w:spacing w:line="240" w:lineRule="auto"/>
              <w:ind w:firstLine="0" w:firstLineChars="0"/>
              <w:jc w:val="left"/>
              <w:rPr>
                <w:rFonts w:cs="Times New Roman"/>
                <w:color w:val="auto"/>
                <w:sz w:val="21"/>
                <w:szCs w:val="21"/>
              </w:rPr>
            </w:pPr>
            <w:r>
              <w:rPr>
                <w:rFonts w:cs="Times New Roman"/>
                <w:color w:val="auto"/>
                <w:sz w:val="21"/>
                <w:szCs w:val="21"/>
              </w:rPr>
              <w:t>天气状况：</w:t>
            </w:r>
            <w:r>
              <w:rPr>
                <w:rFonts w:hint="eastAsia" w:cs="Times New Roman"/>
                <w:color w:val="auto"/>
                <w:sz w:val="21"/>
                <w:szCs w:val="21"/>
              </w:rPr>
              <w:t>晴</w:t>
            </w:r>
            <w:r>
              <w:rPr>
                <w:rFonts w:cs="Times New Roman"/>
                <w:color w:val="auto"/>
                <w:sz w:val="21"/>
                <w:szCs w:val="21"/>
              </w:rPr>
              <w:t xml:space="preserve">     环境温度（℃）：</w:t>
            </w:r>
            <w:r>
              <w:rPr>
                <w:rFonts w:hint="eastAsia" w:cs="Times New Roman"/>
                <w:color w:val="auto"/>
                <w:sz w:val="21"/>
                <w:szCs w:val="21"/>
              </w:rPr>
              <w:t>28.7</w:t>
            </w:r>
            <w:r>
              <w:rPr>
                <w:rFonts w:cs="Times New Roman"/>
                <w:color w:val="auto"/>
                <w:sz w:val="21"/>
                <w:szCs w:val="21"/>
              </w:rPr>
              <w:t xml:space="preserve">    大气压（kPa）：</w:t>
            </w:r>
            <w:r>
              <w:rPr>
                <w:rFonts w:hint="eastAsia" w:cs="Times New Roman"/>
                <w:color w:val="auto"/>
                <w:sz w:val="21"/>
                <w:szCs w:val="21"/>
              </w:rPr>
              <w:t>100.7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420" w:type="dxa"/>
            <w:tcBorders>
              <w:lef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备注</w:t>
            </w:r>
          </w:p>
        </w:tc>
        <w:tc>
          <w:tcPr>
            <w:tcW w:w="7102" w:type="dxa"/>
            <w:gridSpan w:val="5"/>
            <w:tcBorders>
              <w:right w:val="single" w:color="auto" w:sz="4" w:space="0"/>
            </w:tcBorders>
            <w:vAlign w:val="center"/>
          </w:tcPr>
          <w:p>
            <w:pPr>
              <w:spacing w:line="240" w:lineRule="auto"/>
              <w:ind w:firstLine="0" w:firstLineChars="0"/>
              <w:jc w:val="left"/>
              <w:rPr>
                <w:rFonts w:cs="Times New Roman"/>
                <w:color w:val="auto"/>
                <w:sz w:val="21"/>
                <w:szCs w:val="21"/>
              </w:rPr>
            </w:pPr>
            <w:r>
              <w:rPr>
                <w:rFonts w:hint="eastAsia" w:cs="Times New Roman"/>
                <w:color w:val="auto"/>
                <w:sz w:val="21"/>
                <w:szCs w:val="21"/>
              </w:rPr>
              <w:t>限值执行《加油站大气污染物排放标准》（GB 20952-2020）。</w:t>
            </w:r>
          </w:p>
        </w:tc>
      </w:tr>
    </w:tbl>
    <w:p>
      <w:pPr>
        <w:ind w:firstLine="480"/>
        <w:rPr>
          <w:color w:val="auto"/>
        </w:rPr>
      </w:pPr>
      <w:r>
        <w:rPr>
          <w:rFonts w:hint="eastAsia"/>
          <w:color w:val="auto"/>
        </w:rPr>
        <w:t>根据表9.2-10的检测结果可知，油气回收装置油气排放浓度符合《加油站大气污染物排放标准》（GB20952-2020）中油气浓度排放限值25g/m</w:t>
      </w:r>
      <w:r>
        <w:rPr>
          <w:rFonts w:hint="eastAsia"/>
          <w:color w:val="auto"/>
          <w:vertAlign w:val="superscript"/>
        </w:rPr>
        <w:t>3</w:t>
      </w:r>
      <w:r>
        <w:rPr>
          <w:rFonts w:hint="eastAsia"/>
          <w:color w:val="auto"/>
        </w:rPr>
        <w:t>标准，且排放口距地平面高度不低于4m的要求。</w:t>
      </w:r>
    </w:p>
    <w:p>
      <w:pPr>
        <w:pStyle w:val="3"/>
        <w:rPr>
          <w:color w:val="auto"/>
        </w:rPr>
      </w:pPr>
      <w:bookmarkStart w:id="97" w:name="_Toc25689"/>
      <w:r>
        <w:rPr>
          <w:rFonts w:hint="eastAsia"/>
          <w:color w:val="auto"/>
        </w:rPr>
        <w:t>污染物排放总量核算</w:t>
      </w:r>
      <w:bookmarkEnd w:id="97"/>
    </w:p>
    <w:p>
      <w:pPr>
        <w:pStyle w:val="51"/>
        <w:numPr>
          <w:ilvl w:val="0"/>
          <w:numId w:val="3"/>
        </w:numPr>
        <w:spacing w:line="360" w:lineRule="auto"/>
        <w:ind w:firstLineChars="0"/>
        <w:rPr>
          <w:b/>
          <w:bCs/>
          <w:color w:val="auto"/>
          <w:sz w:val="24"/>
        </w:rPr>
      </w:pPr>
      <w:r>
        <w:rPr>
          <w:b/>
          <w:bCs/>
          <w:color w:val="auto"/>
          <w:sz w:val="24"/>
        </w:rPr>
        <w:t>水污染物总量控制指标</w:t>
      </w:r>
    </w:p>
    <w:p>
      <w:pPr>
        <w:ind w:firstLine="480"/>
        <w:rPr>
          <w:color w:val="auto"/>
        </w:rPr>
      </w:pPr>
      <w:r>
        <w:rPr>
          <w:rFonts w:hint="eastAsia"/>
          <w:color w:val="auto"/>
        </w:rPr>
        <w:t>项目生活污水经三级化粪池预处理后由市政污水管网排入高州市城区水质净化厂进一步处理，场地清洗废水、洗车废水、初期雨水经隔油池处理后由市政污水管网排入高州市城区水质净化厂进一步处理。</w:t>
      </w:r>
      <w:r>
        <w:rPr>
          <w:color w:val="auto"/>
        </w:rPr>
        <w:t>废水总量纳入</w:t>
      </w:r>
      <w:r>
        <w:rPr>
          <w:rFonts w:hint="eastAsia"/>
          <w:color w:val="auto"/>
        </w:rPr>
        <w:t>高州市城区水质净化厂</w:t>
      </w:r>
      <w:r>
        <w:rPr>
          <w:color w:val="auto"/>
        </w:rPr>
        <w:t>，无需申请废水总量控制指标。</w:t>
      </w:r>
    </w:p>
    <w:p>
      <w:pPr>
        <w:pStyle w:val="51"/>
        <w:numPr>
          <w:ilvl w:val="0"/>
          <w:numId w:val="3"/>
        </w:numPr>
        <w:spacing w:line="360" w:lineRule="auto"/>
        <w:ind w:firstLineChars="0"/>
        <w:rPr>
          <w:b/>
          <w:bCs/>
          <w:color w:val="auto"/>
          <w:sz w:val="24"/>
        </w:rPr>
      </w:pPr>
      <w:r>
        <w:rPr>
          <w:b/>
          <w:bCs/>
          <w:color w:val="auto"/>
          <w:sz w:val="24"/>
        </w:rPr>
        <w:t>大气污染物排放总量控制指标</w:t>
      </w:r>
    </w:p>
    <w:p>
      <w:pPr>
        <w:ind w:firstLine="480"/>
        <w:rPr>
          <w:color w:val="auto"/>
        </w:rPr>
      </w:pPr>
      <w:r>
        <w:rPr>
          <w:rFonts w:hint="eastAsia"/>
          <w:color w:val="auto"/>
        </w:rPr>
        <w:t>项目废气污染源主要为油气及备用发电机尾气，其中柴油发电机只在停电和检修时使用，使用率很低，尾气中NO</w:t>
      </w:r>
      <w:r>
        <w:rPr>
          <w:rFonts w:hint="eastAsia"/>
          <w:color w:val="auto"/>
          <w:vertAlign w:val="subscript"/>
        </w:rPr>
        <w:t>X</w:t>
      </w:r>
      <w:r>
        <w:rPr>
          <w:rFonts w:hint="eastAsia"/>
          <w:color w:val="auto"/>
        </w:rPr>
        <w:t>产生量较少，且属于不连续排放，因此，本项目不申请N</w:t>
      </w:r>
      <w:r>
        <w:rPr>
          <w:color w:val="auto"/>
        </w:rPr>
        <w:t>O</w:t>
      </w:r>
      <w:r>
        <w:rPr>
          <w:rFonts w:hint="eastAsia"/>
          <w:color w:val="auto"/>
        </w:rPr>
        <w:t>x总量控制指标，非甲烷总烃申请总量为2</w:t>
      </w:r>
      <w:r>
        <w:rPr>
          <w:color w:val="auto"/>
        </w:rPr>
        <w:t>.240</w:t>
      </w:r>
      <w:r>
        <w:rPr>
          <w:rFonts w:hint="eastAsia"/>
          <w:color w:val="auto"/>
        </w:rPr>
        <w:t>t</w:t>
      </w:r>
      <w:r>
        <w:rPr>
          <w:color w:val="auto"/>
        </w:rPr>
        <w:t>/</w:t>
      </w:r>
      <w:r>
        <w:rPr>
          <w:rFonts w:hint="eastAsia"/>
          <w:color w:val="auto"/>
        </w:rPr>
        <w:t>a。</w:t>
      </w:r>
    </w:p>
    <w:p>
      <w:pPr>
        <w:pStyle w:val="51"/>
        <w:numPr>
          <w:ilvl w:val="0"/>
          <w:numId w:val="3"/>
        </w:numPr>
        <w:spacing w:line="360" w:lineRule="auto"/>
        <w:ind w:firstLineChars="0"/>
        <w:rPr>
          <w:b/>
          <w:bCs/>
          <w:color w:val="auto"/>
          <w:sz w:val="24"/>
        </w:rPr>
      </w:pPr>
      <w:r>
        <w:rPr>
          <w:b/>
          <w:bCs/>
          <w:color w:val="auto"/>
          <w:sz w:val="24"/>
        </w:rPr>
        <w:t>固体废弃物排放总量控制指标</w:t>
      </w:r>
    </w:p>
    <w:p>
      <w:pPr>
        <w:pStyle w:val="42"/>
        <w:spacing w:line="360" w:lineRule="auto"/>
        <w:ind w:firstLine="482"/>
        <w:rPr>
          <w:rFonts w:ascii="Times New Roman" w:cs="Times New Roman"/>
          <w:bCs/>
          <w:color w:val="auto"/>
        </w:rPr>
      </w:pPr>
      <w:r>
        <w:rPr>
          <w:color w:val="auto"/>
        </w:rPr>
        <w:t>项目固体废物不自行处理排放，因此项目不设固体废物排放总量控制指标</w:t>
      </w:r>
      <w:r>
        <w:rPr>
          <w:rFonts w:hint="eastAsia" w:ascii="Times New Roman" w:cs="Times New Roman"/>
          <w:bCs/>
          <w:color w:val="auto"/>
        </w:rPr>
        <w:t>。</w:t>
      </w:r>
    </w:p>
    <w:p>
      <w:pPr>
        <w:ind w:firstLine="480"/>
        <w:rPr>
          <w:color w:val="auto"/>
          <w:highlight w:val="yellow"/>
        </w:rPr>
        <w:sectPr>
          <w:pgSz w:w="11906" w:h="16838"/>
          <w:pgMar w:top="1440" w:right="1800" w:bottom="1440" w:left="1800" w:header="851" w:footer="992" w:gutter="0"/>
          <w:cols w:space="425" w:num="1"/>
          <w:docGrid w:type="lines" w:linePitch="312" w:charSpace="0"/>
        </w:sectPr>
      </w:pPr>
    </w:p>
    <w:p>
      <w:pPr>
        <w:pStyle w:val="2"/>
        <w:rPr>
          <w:color w:val="auto"/>
        </w:rPr>
      </w:pPr>
      <w:bookmarkStart w:id="98" w:name="_Toc30441"/>
      <w:r>
        <w:rPr>
          <w:rFonts w:hint="eastAsia"/>
          <w:color w:val="auto"/>
        </w:rPr>
        <w:t>验收监测结论</w:t>
      </w:r>
      <w:bookmarkEnd w:id="98"/>
    </w:p>
    <w:p>
      <w:pPr>
        <w:pStyle w:val="3"/>
        <w:rPr>
          <w:color w:val="auto"/>
        </w:rPr>
      </w:pPr>
      <w:bookmarkStart w:id="99" w:name="_Toc32420"/>
      <w:r>
        <w:rPr>
          <w:rFonts w:hint="eastAsia"/>
          <w:color w:val="auto"/>
        </w:rPr>
        <w:t>环保设施调试运行效果</w:t>
      </w:r>
      <w:bookmarkEnd w:id="99"/>
    </w:p>
    <w:p>
      <w:pPr>
        <w:pStyle w:val="4"/>
        <w:rPr>
          <w:color w:val="auto"/>
        </w:rPr>
      </w:pPr>
      <w:bookmarkStart w:id="100" w:name="_Toc156491683"/>
      <w:bookmarkStart w:id="101" w:name="_Toc164292306"/>
      <w:bookmarkStart w:id="102" w:name="_Toc4769"/>
      <w:r>
        <w:rPr>
          <w:rFonts w:hint="eastAsia"/>
          <w:color w:val="auto"/>
        </w:rPr>
        <w:t>废水</w:t>
      </w:r>
      <w:bookmarkEnd w:id="100"/>
      <w:bookmarkEnd w:id="101"/>
      <w:bookmarkEnd w:id="102"/>
    </w:p>
    <w:p>
      <w:pPr>
        <w:ind w:firstLine="480"/>
        <w:rPr>
          <w:rFonts w:cs="Times New Roman"/>
          <w:color w:val="auto"/>
        </w:rPr>
      </w:pPr>
      <w:r>
        <w:rPr>
          <w:rFonts w:hint="eastAsia"/>
          <w:color w:val="auto"/>
        </w:rPr>
        <w:t>监测结果表明：</w:t>
      </w:r>
      <w:r>
        <w:rPr>
          <w:rFonts w:hint="eastAsia" w:cs="Times New Roman"/>
          <w:color w:val="auto"/>
        </w:rPr>
        <w:t>三级化粪池排放口水污染物排放浓度范围为：pH：6.9~7.2（无量纲），化学需氧量：289～352mg/L，五日生化需氧量：106～133mg/L，悬浮物：15～20mg/L，氨氮；10.18～10.87mg/L。隔油池排放口水污染物排放浓度范围为：pH：6.9~7.3（无量纲），化学需氧量：123～181mg/L，五日生化需氧量：45～68mg/L，悬浮物：15～19mg/L，石油类；0.043～0.133mg/L，LAS：3.26～3.98mg/L。三级化粪池及隔油池中各污染物排放浓度</w:t>
      </w:r>
      <w:r>
        <w:rPr>
          <w:rFonts w:cs="Times New Roman"/>
          <w:color w:val="auto"/>
        </w:rPr>
        <w:t>均符合广东省《水污染物排放限值》(DB44/26-2001) 第二时段三级标准</w:t>
      </w:r>
      <w:r>
        <w:rPr>
          <w:rFonts w:hint="eastAsia"/>
          <w:color w:val="auto"/>
        </w:rPr>
        <w:t>。</w:t>
      </w:r>
    </w:p>
    <w:p>
      <w:pPr>
        <w:pStyle w:val="4"/>
        <w:rPr>
          <w:color w:val="auto"/>
        </w:rPr>
      </w:pPr>
      <w:bookmarkStart w:id="103" w:name="_Toc164292307"/>
      <w:bookmarkStart w:id="104" w:name="_Toc22738"/>
      <w:bookmarkStart w:id="105" w:name="_Toc156491684"/>
      <w:r>
        <w:rPr>
          <w:rFonts w:hint="eastAsia"/>
          <w:color w:val="auto"/>
        </w:rPr>
        <w:t>废气</w:t>
      </w:r>
      <w:bookmarkEnd w:id="103"/>
      <w:bookmarkEnd w:id="104"/>
      <w:bookmarkEnd w:id="105"/>
    </w:p>
    <w:p>
      <w:pPr>
        <w:ind w:firstLine="480"/>
        <w:rPr>
          <w:color w:val="auto"/>
        </w:rPr>
      </w:pPr>
      <w:r>
        <w:rPr>
          <w:rFonts w:hint="eastAsia"/>
          <w:color w:val="auto"/>
        </w:rPr>
        <w:t>监测结果表明：本项目站界无组织废气非甲烷总烃排放浓度范围为：1.95~3.15mg/m</w:t>
      </w:r>
      <w:r>
        <w:rPr>
          <w:rFonts w:hint="eastAsia"/>
          <w:color w:val="auto"/>
          <w:vertAlign w:val="superscript"/>
        </w:rPr>
        <w:t>3</w:t>
      </w:r>
      <w:r>
        <w:rPr>
          <w:rFonts w:hint="eastAsia"/>
          <w:color w:val="auto"/>
        </w:rPr>
        <w:t>，符合《加油站大气污染物排放标准》（GB 20952-2020）表3油气浓度无组织排放限值要求；站内无组织废气非甲烷总烃排放浓度范围为：2.07~2.48mg/m</w:t>
      </w:r>
      <w:r>
        <w:rPr>
          <w:rFonts w:hint="eastAsia"/>
          <w:color w:val="auto"/>
          <w:vertAlign w:val="superscript"/>
        </w:rPr>
        <w:t>3</w:t>
      </w:r>
      <w:r>
        <w:rPr>
          <w:rFonts w:hint="eastAsia"/>
          <w:color w:val="auto"/>
        </w:rPr>
        <w:t>，符合《挥发性有机物无组织排放控制标准》（GB 37822-2019）表 A.1 厂区内 VOCs 无组织特别排放限值（监控点处1h平均浓度值）。</w:t>
      </w:r>
    </w:p>
    <w:p>
      <w:pPr>
        <w:pStyle w:val="4"/>
        <w:rPr>
          <w:color w:val="auto"/>
        </w:rPr>
      </w:pPr>
      <w:bookmarkStart w:id="106" w:name="_Toc13493"/>
      <w:bookmarkStart w:id="107" w:name="_Toc156491685"/>
      <w:bookmarkStart w:id="108" w:name="_Toc164292308"/>
      <w:r>
        <w:rPr>
          <w:rFonts w:hint="eastAsia"/>
          <w:color w:val="auto"/>
        </w:rPr>
        <w:t>噪声</w:t>
      </w:r>
      <w:bookmarkEnd w:id="106"/>
      <w:bookmarkEnd w:id="107"/>
      <w:bookmarkEnd w:id="108"/>
    </w:p>
    <w:p>
      <w:pPr>
        <w:ind w:firstLine="480"/>
        <w:rPr>
          <w:color w:val="auto"/>
        </w:rPr>
      </w:pPr>
      <w:r>
        <w:rPr>
          <w:rFonts w:hint="eastAsia"/>
          <w:color w:val="auto"/>
        </w:rPr>
        <w:t>监测结果表明：项目北面昼间、夜间噪声符合《工业企业厂界环境噪声排放标准》（GB12348-2008）4a类标准；项目东、南、西面昼间、夜间噪声符合2类标准；中梁公园昼间、夜间符合《声环境质量标准》（GB3096-2008）中2类标准。</w:t>
      </w:r>
    </w:p>
    <w:p>
      <w:pPr>
        <w:pStyle w:val="4"/>
        <w:rPr>
          <w:color w:val="auto"/>
        </w:rPr>
      </w:pPr>
      <w:bookmarkStart w:id="109" w:name="_Toc14040"/>
      <w:bookmarkStart w:id="110" w:name="_Toc164292309"/>
      <w:bookmarkStart w:id="111" w:name="_Toc156491686"/>
      <w:r>
        <w:rPr>
          <w:rFonts w:hint="eastAsia"/>
          <w:color w:val="auto"/>
        </w:rPr>
        <w:t>固体废物</w:t>
      </w:r>
      <w:bookmarkEnd w:id="109"/>
      <w:bookmarkEnd w:id="110"/>
      <w:bookmarkEnd w:id="111"/>
    </w:p>
    <w:p>
      <w:pPr>
        <w:ind w:firstLine="480"/>
        <w:rPr>
          <w:color w:val="auto"/>
        </w:rPr>
      </w:pPr>
      <w:r>
        <w:rPr>
          <w:rFonts w:hint="eastAsia" w:ascii="宋体" w:hAnsi="宋体" w:cs="宋体"/>
          <w:color w:val="auto"/>
          <w:szCs w:val="21"/>
        </w:rPr>
        <w:t>本项目废含油抹布及手套、储罐清理废渣、隔油池浮油收集后危废暂存柜暂存，定期交由茂名景胜环保科技有限公司处理；生活垃圾统一交由环卫部门处理</w:t>
      </w:r>
      <w:r>
        <w:rPr>
          <w:rFonts w:hint="eastAsia"/>
          <w:color w:val="auto"/>
        </w:rPr>
        <w:t>。</w:t>
      </w:r>
    </w:p>
    <w:p>
      <w:pPr>
        <w:pStyle w:val="4"/>
        <w:rPr>
          <w:color w:val="auto"/>
        </w:rPr>
      </w:pPr>
      <w:bookmarkStart w:id="112" w:name="_Toc19321"/>
      <w:r>
        <w:rPr>
          <w:rFonts w:hint="eastAsia"/>
          <w:color w:val="auto"/>
        </w:rPr>
        <w:t>油气回收</w:t>
      </w:r>
      <w:bookmarkEnd w:id="112"/>
    </w:p>
    <w:p>
      <w:pPr>
        <w:ind w:firstLine="480"/>
        <w:rPr>
          <w:rFonts w:hint="eastAsia" w:ascii="宋体" w:hAnsi="宋体" w:cs="宋体"/>
          <w:color w:val="auto"/>
          <w:szCs w:val="21"/>
        </w:rPr>
      </w:pPr>
      <w:r>
        <w:rPr>
          <w:rFonts w:hint="eastAsia"/>
          <w:color w:val="auto"/>
        </w:rPr>
        <w:t>检测结果可知，油气回收系统密闭性、液阻和气液比均符合《加油站大气污染物排放标准》GB20952-2020要求。油气回收装置油气排放浓度符合《加油站大气污染物排放标准》（GB20952-2020）中油气浓度排放限值25g/m</w:t>
      </w:r>
      <w:r>
        <w:rPr>
          <w:rFonts w:hint="eastAsia"/>
          <w:color w:val="auto"/>
          <w:vertAlign w:val="superscript"/>
        </w:rPr>
        <w:t>3</w:t>
      </w:r>
      <w:r>
        <w:rPr>
          <w:rFonts w:hint="eastAsia"/>
          <w:color w:val="auto"/>
        </w:rPr>
        <w:t>标准，且排放口距地平面高度不低于4m的要求。</w:t>
      </w:r>
    </w:p>
    <w:p>
      <w:pPr>
        <w:pStyle w:val="3"/>
        <w:rPr>
          <w:color w:val="auto"/>
        </w:rPr>
      </w:pPr>
      <w:bookmarkStart w:id="113" w:name="_Toc26407"/>
      <w:r>
        <w:rPr>
          <w:rFonts w:hint="eastAsia"/>
          <w:color w:val="auto"/>
        </w:rPr>
        <w:t>建议</w:t>
      </w:r>
      <w:bookmarkEnd w:id="113"/>
    </w:p>
    <w:p>
      <w:pPr>
        <w:ind w:firstLine="480"/>
        <w:rPr>
          <w:color w:val="auto"/>
        </w:rPr>
      </w:pPr>
      <w:r>
        <w:rPr>
          <w:rFonts w:hint="eastAsia"/>
          <w:color w:val="auto"/>
        </w:rPr>
        <w:t>（1）严格执行监测计划，加强风险管控，防治污染事件的发生；</w:t>
      </w:r>
    </w:p>
    <w:p>
      <w:pPr>
        <w:ind w:firstLine="480"/>
        <w:rPr>
          <w:color w:val="auto"/>
        </w:rPr>
      </w:pPr>
      <w:r>
        <w:rPr>
          <w:rFonts w:hint="eastAsia"/>
          <w:color w:val="auto"/>
        </w:rPr>
        <w:t>（2）加强废水、废气处理设施的管理和监测，保证废水、废气达标排放；</w:t>
      </w:r>
    </w:p>
    <w:p>
      <w:pPr>
        <w:ind w:firstLine="480"/>
        <w:rPr>
          <w:color w:val="auto"/>
        </w:rPr>
      </w:pPr>
      <w:r>
        <w:rPr>
          <w:rFonts w:hint="eastAsia"/>
          <w:color w:val="auto"/>
        </w:rPr>
        <w:t>（3）应设专人对废水、废气处理系统进行跟踪管理，及时跟进数据，发现异常应第一时间查找原因并处理；</w:t>
      </w:r>
    </w:p>
    <w:p>
      <w:pPr>
        <w:ind w:firstLine="480"/>
        <w:rPr>
          <w:color w:val="auto"/>
        </w:rPr>
      </w:pPr>
      <w:r>
        <w:rPr>
          <w:rFonts w:hint="eastAsia"/>
          <w:color w:val="auto"/>
        </w:rPr>
        <w:t>（4）及时维护环保处理设施，保证良好运行，确保各类污染物达标排放；</w:t>
      </w:r>
    </w:p>
    <w:p>
      <w:pPr>
        <w:ind w:firstLine="480"/>
        <w:rPr>
          <w:color w:val="auto"/>
        </w:rPr>
      </w:pPr>
      <w:r>
        <w:rPr>
          <w:rFonts w:hint="eastAsia"/>
          <w:color w:val="auto"/>
        </w:rPr>
        <w:t>（5）进一步完善环境保护规章制度和建立健全环境保护档案，提高环境保护管理水平。</w:t>
      </w:r>
    </w:p>
    <w:p>
      <w:pPr>
        <w:ind w:firstLine="480"/>
        <w:rPr>
          <w:color w:val="auto"/>
        </w:rPr>
      </w:pPr>
    </w:p>
    <w:p>
      <w:pPr>
        <w:widowControl/>
        <w:spacing w:line="240" w:lineRule="auto"/>
        <w:ind w:firstLine="0" w:firstLineChars="0"/>
        <w:jc w:val="left"/>
        <w:rPr>
          <w:color w:val="auto"/>
        </w:rPr>
      </w:pPr>
      <w:r>
        <w:rPr>
          <w:color w:val="auto"/>
        </w:rPr>
        <w:br w:type="page"/>
      </w:r>
    </w:p>
    <w:p>
      <w:pPr>
        <w:pStyle w:val="2"/>
        <w:rPr>
          <w:color w:val="auto"/>
        </w:rPr>
      </w:pPr>
      <w:bookmarkStart w:id="114" w:name="_Toc18270"/>
      <w:r>
        <w:rPr>
          <w:rFonts w:hint="eastAsia"/>
          <w:color w:val="auto"/>
        </w:rPr>
        <w:t>建设项目竣工环境保护“三同时”验收登记表</w:t>
      </w:r>
      <w:bookmarkEnd w:id="114"/>
    </w:p>
    <w:p>
      <w:pPr>
        <w:ind w:firstLine="480"/>
        <w:rPr>
          <w:color w:val="auto"/>
        </w:rPr>
      </w:pPr>
      <w:r>
        <w:rPr>
          <w:rFonts w:hint="eastAsia"/>
          <w:color w:val="auto"/>
        </w:rPr>
        <w:t>本项目竣工环境保护“三同时”验收登记表详见附件1。</w:t>
      </w:r>
    </w:p>
    <w:p>
      <w:pPr>
        <w:pStyle w:val="2"/>
        <w:rPr>
          <w:color w:val="auto"/>
        </w:rPr>
      </w:pPr>
      <w:bookmarkStart w:id="115" w:name="_Toc3362"/>
      <w:r>
        <w:rPr>
          <w:rFonts w:hint="eastAsia"/>
          <w:color w:val="auto"/>
        </w:rPr>
        <w:t>附件</w:t>
      </w:r>
      <w:bookmarkEnd w:id="115"/>
    </w:p>
    <w:p>
      <w:pPr>
        <w:ind w:firstLine="480"/>
        <w:rPr>
          <w:color w:val="auto"/>
        </w:rPr>
      </w:pPr>
      <w:r>
        <w:rPr>
          <w:rFonts w:hint="eastAsia"/>
          <w:color w:val="auto"/>
        </w:rPr>
        <w:t>附件1 建设项目竣工环境保护“三同时”验收登记表</w:t>
      </w:r>
    </w:p>
    <w:p>
      <w:pPr>
        <w:ind w:firstLine="480"/>
        <w:rPr>
          <w:color w:val="auto"/>
        </w:rPr>
      </w:pPr>
      <w:r>
        <w:rPr>
          <w:rFonts w:hint="eastAsia"/>
          <w:color w:val="auto"/>
        </w:rPr>
        <w:t>附件2 营业执照</w:t>
      </w:r>
    </w:p>
    <w:p>
      <w:pPr>
        <w:ind w:firstLine="480"/>
        <w:rPr>
          <w:color w:val="auto"/>
        </w:rPr>
      </w:pPr>
      <w:r>
        <w:rPr>
          <w:rFonts w:hint="eastAsia"/>
          <w:color w:val="auto"/>
        </w:rPr>
        <w:t>附件3</w:t>
      </w:r>
      <w:r>
        <w:rPr>
          <w:color w:val="auto"/>
        </w:rPr>
        <w:t xml:space="preserve"> </w:t>
      </w:r>
      <w:r>
        <w:rPr>
          <w:rFonts w:hint="eastAsia"/>
          <w:color w:val="auto"/>
        </w:rPr>
        <w:t>法人身份证复印件</w:t>
      </w:r>
    </w:p>
    <w:p>
      <w:pPr>
        <w:ind w:firstLine="480"/>
        <w:rPr>
          <w:color w:val="auto"/>
        </w:rPr>
      </w:pPr>
      <w:r>
        <w:rPr>
          <w:rFonts w:hint="eastAsia"/>
          <w:color w:val="auto"/>
        </w:rPr>
        <w:t>附件4 环评批复</w:t>
      </w:r>
    </w:p>
    <w:p>
      <w:pPr>
        <w:ind w:firstLine="480"/>
        <w:rPr>
          <w:color w:val="auto"/>
        </w:rPr>
      </w:pPr>
      <w:r>
        <w:rPr>
          <w:rFonts w:hint="eastAsia"/>
          <w:color w:val="auto"/>
        </w:rPr>
        <w:t>附件5 排污许可证</w:t>
      </w:r>
    </w:p>
    <w:p>
      <w:pPr>
        <w:ind w:firstLine="480"/>
        <w:rPr>
          <w:color w:val="auto"/>
        </w:rPr>
      </w:pPr>
      <w:r>
        <w:rPr>
          <w:rFonts w:hint="eastAsia"/>
          <w:color w:val="auto"/>
        </w:rPr>
        <w:t>附件</w:t>
      </w:r>
      <w:r>
        <w:rPr>
          <w:color w:val="auto"/>
        </w:rPr>
        <w:t xml:space="preserve">6 </w:t>
      </w:r>
      <w:r>
        <w:rPr>
          <w:rFonts w:hint="eastAsia"/>
          <w:color w:val="auto"/>
        </w:rPr>
        <w:t>危废合同</w:t>
      </w:r>
    </w:p>
    <w:p>
      <w:pPr>
        <w:ind w:firstLine="480"/>
        <w:rPr>
          <w:color w:val="auto"/>
        </w:rPr>
      </w:pPr>
      <w:r>
        <w:rPr>
          <w:rFonts w:hint="eastAsia"/>
          <w:color w:val="auto"/>
        </w:rPr>
        <w:t>附件</w:t>
      </w:r>
      <w:r>
        <w:rPr>
          <w:color w:val="auto"/>
        </w:rPr>
        <w:t xml:space="preserve">7 </w:t>
      </w:r>
      <w:r>
        <w:rPr>
          <w:rFonts w:hint="eastAsia"/>
          <w:color w:val="auto"/>
        </w:rPr>
        <w:t>现场监测图片及环保措施</w:t>
      </w:r>
    </w:p>
    <w:p>
      <w:pPr>
        <w:ind w:firstLine="480"/>
        <w:rPr>
          <w:color w:val="auto"/>
        </w:rPr>
      </w:pPr>
      <w:r>
        <w:rPr>
          <w:rFonts w:hint="eastAsia"/>
          <w:color w:val="auto"/>
        </w:rPr>
        <w:t>附件8</w:t>
      </w:r>
      <w:r>
        <w:rPr>
          <w:color w:val="auto"/>
        </w:rPr>
        <w:t xml:space="preserve"> </w:t>
      </w:r>
      <w:r>
        <w:rPr>
          <w:rFonts w:hint="eastAsia"/>
          <w:color w:val="auto"/>
        </w:rPr>
        <w:t>监测报告</w:t>
      </w:r>
    </w:p>
    <w:p>
      <w:pPr>
        <w:ind w:firstLine="199" w:firstLineChars="83"/>
        <w:rPr>
          <w:color w:val="auto"/>
        </w:rPr>
      </w:pPr>
    </w:p>
    <w:p>
      <w:pPr>
        <w:ind w:firstLine="480"/>
      </w:pPr>
    </w:p>
    <w:p>
      <w:pPr>
        <w:ind w:firstLine="480"/>
      </w:pPr>
    </w:p>
    <w:p>
      <w:pPr>
        <w:ind w:firstLine="480"/>
        <w:sectPr>
          <w:pgSz w:w="11906" w:h="16838"/>
          <w:pgMar w:top="1440" w:right="1800" w:bottom="1440" w:left="1800" w:header="851" w:footer="992" w:gutter="0"/>
          <w:cols w:space="425" w:num="1"/>
          <w:docGrid w:type="lines" w:linePitch="312" w:charSpace="0"/>
        </w:sectPr>
      </w:pPr>
    </w:p>
    <w:p>
      <w:pPr>
        <w:pStyle w:val="14"/>
      </w:pPr>
      <w:bookmarkStart w:id="116" w:name="_Toc18442"/>
      <w:r>
        <w:rPr>
          <w:rFonts w:hint="eastAsia"/>
        </w:rPr>
        <w:t>附件1 建设项目竣工环境保护“三同时”验收登记表</w:t>
      </w:r>
      <w:bookmarkEnd w:id="116"/>
    </w:p>
    <w:p>
      <w:pPr>
        <w:spacing w:line="240" w:lineRule="auto"/>
        <w:ind w:firstLine="482"/>
        <w:rPr>
          <w:rFonts w:hint="eastAsia" w:ascii="宋体" w:hAnsi="宋体"/>
          <w:b/>
          <w:szCs w:val="21"/>
        </w:rPr>
      </w:pPr>
      <w:r>
        <w:rPr>
          <w:rFonts w:hint="eastAsia" w:ascii="宋体" w:hAnsi="宋体"/>
          <w:b/>
          <w:szCs w:val="21"/>
        </w:rPr>
        <w:t>填表单位（盖章）：高州市祥富投资有限公司     填表人（签字）： 陈舒豪                         项目经办人（签字）： 陈舒豪</w:t>
      </w:r>
    </w:p>
    <w:tbl>
      <w:tblPr>
        <w:tblStyle w:val="22"/>
        <w:tblW w:w="15512"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12"/>
        <w:gridCol w:w="127"/>
        <w:gridCol w:w="1062"/>
        <w:gridCol w:w="702"/>
        <w:gridCol w:w="798"/>
        <w:gridCol w:w="1335"/>
        <w:gridCol w:w="1062"/>
        <w:gridCol w:w="782"/>
        <w:gridCol w:w="748"/>
        <w:gridCol w:w="301"/>
        <w:gridCol w:w="956"/>
        <w:gridCol w:w="1145"/>
        <w:gridCol w:w="2285"/>
        <w:gridCol w:w="1000"/>
        <w:gridCol w:w="553"/>
        <w:gridCol w:w="366"/>
        <w:gridCol w:w="590"/>
        <w:gridCol w:w="472"/>
        <w:gridCol w:w="81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94" w:hRule="exact"/>
          <w:jc w:val="center"/>
        </w:trPr>
        <w:tc>
          <w:tcPr>
            <w:tcW w:w="412" w:type="dxa"/>
            <w:vMerge w:val="restart"/>
            <w:tcBorders>
              <w:top w:val="single" w:color="auto" w:sz="8" w:space="0"/>
              <w:left w:val="single" w:color="auto" w:sz="8" w:space="0"/>
              <w:bottom w:val="single" w:color="auto" w:sz="4" w:space="0"/>
              <w:right w:val="single" w:color="auto" w:sz="4" w:space="0"/>
            </w:tcBorders>
            <w:tcMar>
              <w:top w:w="0" w:type="dxa"/>
              <w:left w:w="57" w:type="dxa"/>
              <w:bottom w:w="0" w:type="dxa"/>
              <w:right w:w="57" w:type="dxa"/>
            </w:tcMar>
            <w:textDirection w:val="tbRlV"/>
            <w:vAlign w:val="center"/>
          </w:tcPr>
          <w:p>
            <w:pPr>
              <w:spacing w:line="180" w:lineRule="exact"/>
              <w:ind w:left="113" w:right="113" w:firstLine="0" w:firstLineChars="0"/>
              <w:jc w:val="center"/>
              <w:rPr>
                <w:b/>
                <w:sz w:val="15"/>
                <w:szCs w:val="15"/>
              </w:rPr>
            </w:pPr>
            <w:r>
              <w:rPr>
                <w:rFonts w:hint="eastAsia"/>
                <w:b/>
                <w:sz w:val="15"/>
                <w:szCs w:val="15"/>
              </w:rPr>
              <w:t>建设项目</w:t>
            </w:r>
          </w:p>
        </w:tc>
        <w:tc>
          <w:tcPr>
            <w:tcW w:w="1891" w:type="dxa"/>
            <w:gridSpan w:val="3"/>
            <w:tcBorders>
              <w:top w:val="single" w:color="auto" w:sz="8"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项目名称</w:t>
            </w:r>
          </w:p>
        </w:tc>
        <w:tc>
          <w:tcPr>
            <w:tcW w:w="5026" w:type="dxa"/>
            <w:gridSpan w:val="6"/>
            <w:tcBorders>
              <w:top w:val="single" w:color="auto" w:sz="8"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高州市翔雄能源有限公司新建加油站项目</w:t>
            </w:r>
          </w:p>
        </w:tc>
        <w:tc>
          <w:tcPr>
            <w:tcW w:w="2101" w:type="dxa"/>
            <w:gridSpan w:val="2"/>
            <w:tcBorders>
              <w:top w:val="single" w:color="auto" w:sz="8"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项目代码</w:t>
            </w:r>
          </w:p>
        </w:tc>
        <w:tc>
          <w:tcPr>
            <w:tcW w:w="2285" w:type="dxa"/>
            <w:tcBorders>
              <w:top w:val="single" w:color="auto" w:sz="8"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sz w:val="15"/>
                <w:szCs w:val="15"/>
              </w:rPr>
              <w:t>/</w:t>
            </w:r>
          </w:p>
        </w:tc>
        <w:tc>
          <w:tcPr>
            <w:tcW w:w="1553" w:type="dxa"/>
            <w:gridSpan w:val="2"/>
            <w:tcBorders>
              <w:top w:val="single" w:color="auto" w:sz="8"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建设地点</w:t>
            </w:r>
          </w:p>
        </w:tc>
        <w:tc>
          <w:tcPr>
            <w:tcW w:w="2244" w:type="dxa"/>
            <w:gridSpan w:val="4"/>
            <w:tcBorders>
              <w:top w:val="single" w:color="auto" w:sz="8"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sz w:val="15"/>
                <w:szCs w:val="15"/>
              </w:rPr>
              <w:t>茂名市高州市山美街道城东片区站前路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16" w:hRule="exact"/>
          <w:jc w:val="center"/>
        </w:trPr>
        <w:tc>
          <w:tcPr>
            <w:tcW w:w="41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sz w:val="15"/>
                <w:szCs w:val="15"/>
              </w:rPr>
            </w:pPr>
          </w:p>
        </w:tc>
        <w:tc>
          <w:tcPr>
            <w:tcW w:w="1891"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行业类别（分类管理名录）</w:t>
            </w:r>
          </w:p>
        </w:tc>
        <w:tc>
          <w:tcPr>
            <w:tcW w:w="5026" w:type="dxa"/>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F5265机动车燃油零售</w:t>
            </w:r>
          </w:p>
        </w:tc>
        <w:tc>
          <w:tcPr>
            <w:tcW w:w="210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建设性质</w:t>
            </w:r>
          </w:p>
        </w:tc>
        <w:tc>
          <w:tcPr>
            <w:tcW w:w="3838"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b/>
                <w:sz w:val="15"/>
                <w:szCs w:val="15"/>
              </w:rPr>
              <w:fldChar w:fldCharType="begin"/>
            </w:r>
            <w:r>
              <w:rPr>
                <w:b/>
                <w:sz w:val="15"/>
                <w:szCs w:val="15"/>
              </w:rPr>
              <w:instrText xml:space="preserve"> eq \o\ac(</w:instrText>
            </w:r>
            <w:r>
              <w:rPr>
                <w:rFonts w:hint="eastAsia"/>
                <w:b/>
                <w:sz w:val="15"/>
                <w:szCs w:val="15"/>
              </w:rPr>
              <w:instrText xml:space="preserve">□</w:instrText>
            </w:r>
            <w:r>
              <w:rPr>
                <w:b/>
                <w:sz w:val="15"/>
                <w:szCs w:val="15"/>
              </w:rPr>
              <w:instrText xml:space="preserve">,</w:instrText>
            </w:r>
            <w:r>
              <w:rPr>
                <w:rFonts w:hint="eastAsia" w:ascii="宋体"/>
                <w:b/>
                <w:position w:val="1"/>
                <w:sz w:val="9"/>
                <w:szCs w:val="15"/>
              </w:rPr>
              <w:instrText xml:space="preserve">√</w:instrText>
            </w:r>
            <w:r>
              <w:rPr>
                <w:b/>
                <w:sz w:val="15"/>
                <w:szCs w:val="15"/>
              </w:rPr>
              <w:instrText xml:space="preserve">)</w:instrText>
            </w:r>
            <w:r>
              <w:rPr>
                <w:b/>
                <w:sz w:val="15"/>
                <w:szCs w:val="15"/>
              </w:rPr>
              <w:fldChar w:fldCharType="end"/>
            </w:r>
            <w:r>
              <w:rPr>
                <w:rFonts w:hint="eastAsia"/>
                <w:b/>
                <w:sz w:val="15"/>
                <w:szCs w:val="15"/>
              </w:rPr>
              <w:t>新建</w:t>
            </w:r>
            <w:r>
              <w:rPr>
                <w:b/>
                <w:sz w:val="15"/>
                <w:szCs w:val="15"/>
              </w:rPr>
              <w:t xml:space="preserve">  □</w:t>
            </w:r>
            <w:r>
              <w:rPr>
                <w:rFonts w:hint="eastAsia"/>
                <w:b/>
                <w:sz w:val="15"/>
                <w:szCs w:val="15"/>
              </w:rPr>
              <w:t>改扩建</w:t>
            </w:r>
            <w:r>
              <w:rPr>
                <w:b/>
                <w:sz w:val="15"/>
                <w:szCs w:val="15"/>
              </w:rPr>
              <w:t xml:space="preserve">  □</w:t>
            </w:r>
            <w:r>
              <w:rPr>
                <w:rFonts w:hint="eastAsia"/>
                <w:b/>
                <w:sz w:val="15"/>
                <w:szCs w:val="15"/>
              </w:rPr>
              <w:t>技术改造</w:t>
            </w:r>
          </w:p>
        </w:tc>
        <w:tc>
          <w:tcPr>
            <w:tcW w:w="956"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项目厂区中心经度</w:t>
            </w:r>
            <w:r>
              <w:rPr>
                <w:b/>
                <w:sz w:val="15"/>
                <w:szCs w:val="15"/>
              </w:rPr>
              <w:t>/</w:t>
            </w:r>
            <w:r>
              <w:rPr>
                <w:rFonts w:hint="eastAsia"/>
                <w:b/>
                <w:sz w:val="15"/>
                <w:szCs w:val="15"/>
              </w:rPr>
              <w:t>纬度</w:t>
            </w:r>
          </w:p>
        </w:tc>
        <w:tc>
          <w:tcPr>
            <w:tcW w:w="1288" w:type="dxa"/>
            <w:gridSpan w:val="2"/>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wordWrap w:val="0"/>
              <w:spacing w:line="180" w:lineRule="exact"/>
              <w:ind w:firstLine="0" w:firstLineChars="0"/>
              <w:rPr>
                <w:sz w:val="15"/>
                <w:szCs w:val="15"/>
              </w:rPr>
            </w:pPr>
            <w:r>
              <w:rPr>
                <w:sz w:val="15"/>
                <w:szCs w:val="15"/>
              </w:rPr>
              <w:t>110°5</w:t>
            </w:r>
            <w:r>
              <w:rPr>
                <w:rFonts w:hint="eastAsia"/>
                <w:sz w:val="15"/>
                <w:szCs w:val="15"/>
              </w:rPr>
              <w:t>2</w:t>
            </w:r>
            <w:r>
              <w:rPr>
                <w:sz w:val="15"/>
                <w:szCs w:val="15"/>
              </w:rPr>
              <w:t>′5.485″E</w:t>
            </w:r>
          </w:p>
          <w:p>
            <w:pPr>
              <w:wordWrap w:val="0"/>
              <w:spacing w:line="180" w:lineRule="exact"/>
              <w:ind w:firstLine="0" w:firstLineChars="0"/>
              <w:rPr>
                <w:sz w:val="15"/>
                <w:szCs w:val="15"/>
              </w:rPr>
            </w:pPr>
            <w:r>
              <w:rPr>
                <w:sz w:val="15"/>
                <w:szCs w:val="15"/>
              </w:rPr>
              <w:t>21°</w:t>
            </w:r>
            <w:r>
              <w:rPr>
                <w:rFonts w:hint="eastAsia"/>
                <w:sz w:val="15"/>
                <w:szCs w:val="15"/>
              </w:rPr>
              <w:t>53</w:t>
            </w:r>
            <w:r>
              <w:rPr>
                <w:sz w:val="15"/>
                <w:szCs w:val="15"/>
              </w:rPr>
              <w:t>′49.984″N</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547" w:hRule="exact"/>
          <w:jc w:val="center"/>
        </w:trPr>
        <w:tc>
          <w:tcPr>
            <w:tcW w:w="41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sz w:val="15"/>
                <w:szCs w:val="15"/>
              </w:rPr>
            </w:pPr>
          </w:p>
        </w:tc>
        <w:tc>
          <w:tcPr>
            <w:tcW w:w="1891"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设计生产能力</w:t>
            </w:r>
          </w:p>
        </w:tc>
        <w:tc>
          <w:tcPr>
            <w:tcW w:w="5026" w:type="dxa"/>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年销售92#汽油 3000吨，年销售95#汽油4500吨，年销售98#汽油1000吨，年销售柴油1300吨</w:t>
            </w:r>
          </w:p>
        </w:tc>
        <w:tc>
          <w:tcPr>
            <w:tcW w:w="210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实际生产能力</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Cs/>
                <w:sz w:val="15"/>
                <w:szCs w:val="15"/>
              </w:rPr>
              <w:t>年销售92#汽油 3000吨，年销售95#汽油4500吨，年销售98#汽油1000吨，年销售柴油1300吨</w:t>
            </w:r>
          </w:p>
        </w:tc>
        <w:tc>
          <w:tcPr>
            <w:tcW w:w="1553"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环评单位</w:t>
            </w:r>
          </w:p>
        </w:tc>
        <w:tc>
          <w:tcPr>
            <w:tcW w:w="2244"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广州市杰人环保科技有限公司</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41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sz w:val="15"/>
                <w:szCs w:val="15"/>
              </w:rPr>
            </w:pPr>
          </w:p>
        </w:tc>
        <w:tc>
          <w:tcPr>
            <w:tcW w:w="1891"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环评文件审批机关</w:t>
            </w:r>
          </w:p>
        </w:tc>
        <w:tc>
          <w:tcPr>
            <w:tcW w:w="5026" w:type="dxa"/>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茂名市生态环境局高州分局</w:t>
            </w:r>
          </w:p>
        </w:tc>
        <w:tc>
          <w:tcPr>
            <w:tcW w:w="210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审批文号</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茂环（高州）审[2023]17号</w:t>
            </w:r>
          </w:p>
        </w:tc>
        <w:tc>
          <w:tcPr>
            <w:tcW w:w="1553"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环评文件类型</w:t>
            </w:r>
          </w:p>
        </w:tc>
        <w:tc>
          <w:tcPr>
            <w:tcW w:w="2244"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报告表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41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sz w:val="15"/>
                <w:szCs w:val="15"/>
              </w:rPr>
            </w:pPr>
          </w:p>
        </w:tc>
        <w:tc>
          <w:tcPr>
            <w:tcW w:w="1891"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开工日期</w:t>
            </w:r>
          </w:p>
        </w:tc>
        <w:tc>
          <w:tcPr>
            <w:tcW w:w="5026" w:type="dxa"/>
            <w:gridSpan w:val="6"/>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2</w:t>
            </w:r>
            <w:r>
              <w:rPr>
                <w:bCs/>
                <w:sz w:val="15"/>
                <w:szCs w:val="15"/>
              </w:rPr>
              <w:t>02</w:t>
            </w:r>
            <w:r>
              <w:rPr>
                <w:rFonts w:hint="eastAsia"/>
                <w:bCs/>
                <w:sz w:val="15"/>
                <w:szCs w:val="15"/>
              </w:rPr>
              <w:t>3年10月</w:t>
            </w:r>
          </w:p>
        </w:tc>
        <w:tc>
          <w:tcPr>
            <w:tcW w:w="2101" w:type="dxa"/>
            <w:gridSpan w:val="2"/>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竣工日期</w:t>
            </w:r>
          </w:p>
        </w:tc>
        <w:tc>
          <w:tcPr>
            <w:tcW w:w="2285" w:type="dxa"/>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2</w:t>
            </w:r>
            <w:r>
              <w:rPr>
                <w:bCs/>
                <w:sz w:val="15"/>
                <w:szCs w:val="15"/>
              </w:rPr>
              <w:t>02</w:t>
            </w:r>
            <w:r>
              <w:rPr>
                <w:rFonts w:hint="eastAsia"/>
                <w:bCs/>
                <w:sz w:val="15"/>
                <w:szCs w:val="15"/>
              </w:rPr>
              <w:t>4年3月</w:t>
            </w:r>
          </w:p>
        </w:tc>
        <w:tc>
          <w:tcPr>
            <w:tcW w:w="1553"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排污许可证申领时间</w:t>
            </w:r>
          </w:p>
        </w:tc>
        <w:tc>
          <w:tcPr>
            <w:tcW w:w="2244"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41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sz w:val="15"/>
                <w:szCs w:val="15"/>
              </w:rPr>
            </w:pPr>
          </w:p>
        </w:tc>
        <w:tc>
          <w:tcPr>
            <w:tcW w:w="1891"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环保设施设计单位</w:t>
            </w:r>
          </w:p>
        </w:tc>
        <w:tc>
          <w:tcPr>
            <w:tcW w:w="5026" w:type="dxa"/>
            <w:gridSpan w:val="6"/>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w:t>
            </w:r>
          </w:p>
        </w:tc>
        <w:tc>
          <w:tcPr>
            <w:tcW w:w="2101" w:type="dxa"/>
            <w:gridSpan w:val="2"/>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环保设施施工单位</w:t>
            </w:r>
          </w:p>
        </w:tc>
        <w:tc>
          <w:tcPr>
            <w:tcW w:w="2285" w:type="dxa"/>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pPr>
              <w:spacing w:line="180" w:lineRule="exact"/>
              <w:ind w:firstLine="0" w:firstLineChars="0"/>
              <w:rPr>
                <w:bCs/>
                <w:sz w:val="13"/>
                <w:szCs w:val="15"/>
              </w:rPr>
            </w:pPr>
            <w:r>
              <w:rPr>
                <w:rFonts w:hint="eastAsia"/>
                <w:bCs/>
                <w:sz w:val="13"/>
                <w:szCs w:val="15"/>
              </w:rPr>
              <w:t>/</w:t>
            </w:r>
          </w:p>
        </w:tc>
        <w:tc>
          <w:tcPr>
            <w:tcW w:w="1553"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本工程排污许可证编号</w:t>
            </w:r>
          </w:p>
        </w:tc>
        <w:tc>
          <w:tcPr>
            <w:tcW w:w="2244"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41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sz w:val="15"/>
                <w:szCs w:val="15"/>
              </w:rPr>
            </w:pPr>
          </w:p>
        </w:tc>
        <w:tc>
          <w:tcPr>
            <w:tcW w:w="1891"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验收单位</w:t>
            </w:r>
          </w:p>
        </w:tc>
        <w:tc>
          <w:tcPr>
            <w:tcW w:w="5026" w:type="dxa"/>
            <w:gridSpan w:val="6"/>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高州市祥富投资有限公司</w:t>
            </w:r>
          </w:p>
        </w:tc>
        <w:tc>
          <w:tcPr>
            <w:tcW w:w="2101" w:type="dxa"/>
            <w:gridSpan w:val="2"/>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环保设施监测单位</w:t>
            </w:r>
          </w:p>
        </w:tc>
        <w:tc>
          <w:tcPr>
            <w:tcW w:w="2285" w:type="dxa"/>
            <w:tcBorders>
              <w:top w:val="single" w:color="auto" w:sz="4" w:space="0"/>
              <w:left w:val="single" w:color="auto" w:sz="4" w:space="0"/>
              <w:bottom w:val="single" w:color="auto" w:sz="4" w:space="0"/>
              <w:right w:val="single" w:color="auto" w:sz="4" w:space="0"/>
            </w:tcBorders>
            <w:shd w:val="clear" w:color="auto" w:fill="auto"/>
            <w:tcMar>
              <w:top w:w="0" w:type="dxa"/>
              <w:left w:w="57" w:type="dxa"/>
              <w:bottom w:w="0" w:type="dxa"/>
              <w:right w:w="57" w:type="dxa"/>
            </w:tcMar>
            <w:vAlign w:val="center"/>
          </w:tcPr>
          <w:p>
            <w:pPr>
              <w:spacing w:line="180" w:lineRule="exact"/>
              <w:ind w:firstLine="0" w:firstLineChars="0"/>
              <w:rPr>
                <w:bCs/>
                <w:sz w:val="13"/>
                <w:szCs w:val="15"/>
              </w:rPr>
            </w:pPr>
            <w:r>
              <w:rPr>
                <w:rFonts w:hint="eastAsia"/>
                <w:bCs/>
                <w:sz w:val="13"/>
                <w:szCs w:val="15"/>
              </w:rPr>
              <w:t>茂名市广润检测有限公司</w:t>
            </w:r>
          </w:p>
        </w:tc>
        <w:tc>
          <w:tcPr>
            <w:tcW w:w="1553"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验收监测时工况</w:t>
            </w:r>
          </w:p>
        </w:tc>
        <w:tc>
          <w:tcPr>
            <w:tcW w:w="2244"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bCs/>
                <w:sz w:val="15"/>
                <w:szCs w:val="15"/>
              </w:rPr>
            </w:pPr>
            <w:r>
              <w:rPr>
                <w:bCs/>
                <w:sz w:val="15"/>
                <w:szCs w:val="15"/>
              </w:rPr>
              <w:t>8</w:t>
            </w:r>
            <w:r>
              <w:rPr>
                <w:rFonts w:hint="eastAsia"/>
                <w:bCs/>
                <w:sz w:val="15"/>
                <w:szCs w:val="15"/>
              </w:rPr>
              <w:t>0%~85%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41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sz w:val="15"/>
                <w:szCs w:val="15"/>
              </w:rPr>
            </w:pPr>
          </w:p>
        </w:tc>
        <w:tc>
          <w:tcPr>
            <w:tcW w:w="1891"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投资总概算（万元）</w:t>
            </w:r>
          </w:p>
        </w:tc>
        <w:tc>
          <w:tcPr>
            <w:tcW w:w="5026" w:type="dxa"/>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700</w:t>
            </w:r>
          </w:p>
        </w:tc>
        <w:tc>
          <w:tcPr>
            <w:tcW w:w="210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tabs>
                <w:tab w:val="left" w:pos="690"/>
              </w:tabs>
              <w:spacing w:line="180" w:lineRule="exact"/>
              <w:ind w:firstLine="0" w:firstLineChars="0"/>
              <w:rPr>
                <w:sz w:val="15"/>
                <w:szCs w:val="15"/>
              </w:rPr>
            </w:pPr>
            <w:r>
              <w:rPr>
                <w:rFonts w:hint="eastAsia"/>
                <w:b/>
                <w:sz w:val="15"/>
                <w:szCs w:val="15"/>
              </w:rPr>
              <w:t>环保投资总概算（万元）</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50</w:t>
            </w:r>
          </w:p>
        </w:tc>
        <w:tc>
          <w:tcPr>
            <w:tcW w:w="1553"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tabs>
                <w:tab w:val="left" w:pos="690"/>
              </w:tabs>
              <w:spacing w:line="180" w:lineRule="exact"/>
              <w:ind w:firstLine="0" w:firstLineChars="0"/>
              <w:rPr>
                <w:sz w:val="15"/>
                <w:szCs w:val="15"/>
              </w:rPr>
            </w:pPr>
            <w:r>
              <w:rPr>
                <w:rFonts w:hint="eastAsia"/>
                <w:b/>
                <w:sz w:val="15"/>
                <w:szCs w:val="15"/>
              </w:rPr>
              <w:t>所占比例（</w:t>
            </w:r>
            <w:r>
              <w:rPr>
                <w:b/>
                <w:sz w:val="15"/>
                <w:szCs w:val="15"/>
              </w:rPr>
              <w:t>%</w:t>
            </w:r>
            <w:r>
              <w:rPr>
                <w:rFonts w:hint="eastAsia"/>
                <w:b/>
                <w:sz w:val="15"/>
                <w:szCs w:val="15"/>
              </w:rPr>
              <w:t>）</w:t>
            </w:r>
          </w:p>
        </w:tc>
        <w:tc>
          <w:tcPr>
            <w:tcW w:w="2244"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7.14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41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sz w:val="15"/>
                <w:szCs w:val="15"/>
              </w:rPr>
            </w:pPr>
          </w:p>
        </w:tc>
        <w:tc>
          <w:tcPr>
            <w:tcW w:w="1891"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实际总投资（万元）</w:t>
            </w:r>
          </w:p>
        </w:tc>
        <w:tc>
          <w:tcPr>
            <w:tcW w:w="5026" w:type="dxa"/>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700</w:t>
            </w:r>
          </w:p>
        </w:tc>
        <w:tc>
          <w:tcPr>
            <w:tcW w:w="210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right="300" w:firstLine="0" w:firstLineChars="0"/>
              <w:rPr>
                <w:b/>
                <w:sz w:val="15"/>
                <w:szCs w:val="15"/>
              </w:rPr>
            </w:pPr>
            <w:r>
              <w:rPr>
                <w:rFonts w:hint="eastAsia"/>
                <w:b/>
                <w:sz w:val="15"/>
                <w:szCs w:val="15"/>
              </w:rPr>
              <w:t>实际环保投资（万元）</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50</w:t>
            </w:r>
          </w:p>
        </w:tc>
        <w:tc>
          <w:tcPr>
            <w:tcW w:w="1553"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所占比例（</w:t>
            </w:r>
            <w:r>
              <w:rPr>
                <w:b/>
                <w:sz w:val="15"/>
                <w:szCs w:val="15"/>
              </w:rPr>
              <w:t>%</w:t>
            </w:r>
            <w:r>
              <w:rPr>
                <w:rFonts w:hint="eastAsia"/>
                <w:b/>
                <w:sz w:val="15"/>
                <w:szCs w:val="15"/>
              </w:rPr>
              <w:t>）</w:t>
            </w:r>
          </w:p>
        </w:tc>
        <w:tc>
          <w:tcPr>
            <w:tcW w:w="2244"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bCs/>
                <w:sz w:val="15"/>
                <w:szCs w:val="15"/>
              </w:rPr>
            </w:pPr>
            <w:r>
              <w:rPr>
                <w:rFonts w:hint="eastAsia"/>
                <w:bCs/>
                <w:sz w:val="15"/>
                <w:szCs w:val="15"/>
              </w:rPr>
              <w:t>7.14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41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sz w:val="15"/>
                <w:szCs w:val="15"/>
              </w:rPr>
            </w:pPr>
          </w:p>
        </w:tc>
        <w:tc>
          <w:tcPr>
            <w:tcW w:w="1891"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废水治理（万元）</w:t>
            </w:r>
          </w:p>
        </w:tc>
        <w:tc>
          <w:tcPr>
            <w:tcW w:w="79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sz w:val="15"/>
                <w:szCs w:val="15"/>
              </w:rPr>
              <w:t>2</w:t>
            </w:r>
            <w:r>
              <w:rPr>
                <w:rFonts w:hint="eastAsia"/>
                <w:sz w:val="15"/>
                <w:szCs w:val="15"/>
              </w:rPr>
              <w:t>1</w:t>
            </w:r>
          </w:p>
        </w:tc>
        <w:tc>
          <w:tcPr>
            <w:tcW w:w="133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废气治理（万元）</w:t>
            </w:r>
          </w:p>
        </w:tc>
        <w:tc>
          <w:tcPr>
            <w:tcW w:w="106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sz w:val="15"/>
                <w:szCs w:val="15"/>
              </w:rPr>
              <w:t>20</w:t>
            </w:r>
          </w:p>
        </w:tc>
        <w:tc>
          <w:tcPr>
            <w:tcW w:w="1530"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噪声治理（万元）</w:t>
            </w:r>
          </w:p>
        </w:tc>
        <w:tc>
          <w:tcPr>
            <w:tcW w:w="301"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sz w:val="15"/>
                <w:szCs w:val="15"/>
              </w:rPr>
              <w:t>4</w:t>
            </w:r>
          </w:p>
        </w:tc>
        <w:tc>
          <w:tcPr>
            <w:tcW w:w="210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固体废物治理（万元）</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sz w:val="15"/>
                <w:szCs w:val="15"/>
              </w:rPr>
              <w:t>5</w:t>
            </w:r>
          </w:p>
        </w:tc>
        <w:tc>
          <w:tcPr>
            <w:tcW w:w="1553"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绿化及生态（万元）</w:t>
            </w:r>
          </w:p>
        </w:tc>
        <w:tc>
          <w:tcPr>
            <w:tcW w:w="36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sz w:val="15"/>
                <w:szCs w:val="15"/>
              </w:rPr>
              <w:t>0</w:t>
            </w:r>
          </w:p>
        </w:tc>
        <w:tc>
          <w:tcPr>
            <w:tcW w:w="1062"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其他（万元）</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sz w:val="15"/>
                <w:szCs w:val="15"/>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41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sz w:val="15"/>
                <w:szCs w:val="15"/>
              </w:rPr>
            </w:pPr>
          </w:p>
        </w:tc>
        <w:tc>
          <w:tcPr>
            <w:tcW w:w="1891"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新增废水处理设施能力</w:t>
            </w:r>
          </w:p>
        </w:tc>
        <w:tc>
          <w:tcPr>
            <w:tcW w:w="5026" w:type="dxa"/>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sz w:val="15"/>
                <w:szCs w:val="15"/>
              </w:rPr>
              <w:t>--</w:t>
            </w:r>
          </w:p>
        </w:tc>
        <w:tc>
          <w:tcPr>
            <w:tcW w:w="210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新增废气处理设施能力</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sz w:val="15"/>
                <w:szCs w:val="15"/>
              </w:rPr>
              <w:t>--</w:t>
            </w:r>
          </w:p>
        </w:tc>
        <w:tc>
          <w:tcPr>
            <w:tcW w:w="1553"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年平均工作时间</w:t>
            </w:r>
          </w:p>
        </w:tc>
        <w:tc>
          <w:tcPr>
            <w:tcW w:w="2244"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sz w:val="15"/>
                <w:szCs w:val="15"/>
              </w:rPr>
            </w:pPr>
            <w:r>
              <w:rPr>
                <w:sz w:val="15"/>
                <w:szCs w:val="15"/>
              </w:rPr>
              <w:t>7200h</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07" w:hRule="exact"/>
          <w:jc w:val="center"/>
        </w:trPr>
        <w:tc>
          <w:tcPr>
            <w:tcW w:w="2303" w:type="dxa"/>
            <w:gridSpan w:val="4"/>
            <w:tcBorders>
              <w:top w:val="single" w:color="auto" w:sz="4" w:space="0"/>
              <w:left w:val="single" w:color="auto" w:sz="8"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运营单位</w:t>
            </w:r>
          </w:p>
        </w:tc>
        <w:tc>
          <w:tcPr>
            <w:tcW w:w="3977" w:type="dxa"/>
            <w:gridSpan w:val="4"/>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Cs/>
                <w:sz w:val="15"/>
                <w:szCs w:val="15"/>
              </w:rPr>
              <w:t>高州市祥富投资有限公司</w:t>
            </w:r>
          </w:p>
        </w:tc>
        <w:tc>
          <w:tcPr>
            <w:tcW w:w="3150" w:type="dxa"/>
            <w:gridSpan w:val="4"/>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运营单位社会统一信用代码(或组织机构代码)</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bCs/>
                <w:sz w:val="15"/>
                <w:szCs w:val="15"/>
              </w:rPr>
              <w:t>91440981MA</w:t>
            </w:r>
            <w:r>
              <w:rPr>
                <w:rFonts w:hint="eastAsia"/>
                <w:bCs/>
                <w:sz w:val="15"/>
                <w:szCs w:val="15"/>
              </w:rPr>
              <w:t>CC76R141</w:t>
            </w:r>
          </w:p>
        </w:tc>
        <w:tc>
          <w:tcPr>
            <w:tcW w:w="1553"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验收时间</w:t>
            </w:r>
          </w:p>
        </w:tc>
        <w:tc>
          <w:tcPr>
            <w:tcW w:w="2244"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79" w:hRule="exact"/>
          <w:jc w:val="center"/>
        </w:trPr>
        <w:tc>
          <w:tcPr>
            <w:tcW w:w="539" w:type="dxa"/>
            <w:gridSpan w:val="2"/>
            <w:vMerge w:val="restart"/>
            <w:tcBorders>
              <w:top w:val="single" w:color="auto" w:sz="4" w:space="0"/>
              <w:left w:val="single" w:color="auto" w:sz="8" w:space="0"/>
              <w:bottom w:val="single" w:color="auto" w:sz="8" w:space="0"/>
              <w:right w:val="single" w:color="auto" w:sz="4" w:space="0"/>
            </w:tcBorders>
            <w:tcMar>
              <w:top w:w="0" w:type="dxa"/>
              <w:left w:w="57" w:type="dxa"/>
              <w:bottom w:w="0" w:type="dxa"/>
              <w:right w:w="57" w:type="dxa"/>
            </w:tcMar>
            <w:vAlign w:val="center"/>
          </w:tcPr>
          <w:p>
            <w:pPr>
              <w:spacing w:line="180" w:lineRule="exact"/>
              <w:ind w:firstLine="0" w:firstLineChars="0"/>
              <w:rPr>
                <w:rFonts w:eastAsia="黑体"/>
                <w:b/>
                <w:spacing w:val="20"/>
                <w:sz w:val="15"/>
                <w:szCs w:val="15"/>
              </w:rPr>
            </w:pPr>
            <w:r>
              <w:rPr>
                <w:rFonts w:hint="eastAsia" w:eastAsia="黑体"/>
                <w:b/>
                <w:spacing w:val="20"/>
                <w:sz w:val="15"/>
                <w:szCs w:val="15"/>
              </w:rPr>
              <w:t>污染</w:t>
            </w:r>
          </w:p>
          <w:p>
            <w:pPr>
              <w:spacing w:line="180" w:lineRule="exact"/>
              <w:ind w:firstLine="0" w:firstLineChars="0"/>
              <w:rPr>
                <w:rFonts w:eastAsia="黑体"/>
                <w:b/>
                <w:spacing w:val="20"/>
                <w:sz w:val="15"/>
                <w:szCs w:val="15"/>
              </w:rPr>
            </w:pPr>
            <w:r>
              <w:rPr>
                <w:rFonts w:hint="eastAsia" w:eastAsia="黑体"/>
                <w:b/>
                <w:spacing w:val="20"/>
                <w:sz w:val="15"/>
                <w:szCs w:val="15"/>
              </w:rPr>
              <w:t>物排</w:t>
            </w:r>
          </w:p>
          <w:p>
            <w:pPr>
              <w:spacing w:line="180" w:lineRule="exact"/>
              <w:ind w:firstLine="0" w:firstLineChars="0"/>
              <w:rPr>
                <w:rFonts w:eastAsia="黑体"/>
                <w:b/>
                <w:spacing w:val="20"/>
                <w:sz w:val="15"/>
                <w:szCs w:val="15"/>
              </w:rPr>
            </w:pPr>
            <w:r>
              <w:rPr>
                <w:rFonts w:hint="eastAsia" w:eastAsia="黑体"/>
                <w:b/>
                <w:spacing w:val="20"/>
                <w:sz w:val="15"/>
                <w:szCs w:val="15"/>
              </w:rPr>
              <w:t>放达</w:t>
            </w:r>
          </w:p>
          <w:p>
            <w:pPr>
              <w:spacing w:line="180" w:lineRule="exact"/>
              <w:ind w:firstLine="0" w:firstLineChars="0"/>
              <w:rPr>
                <w:rFonts w:eastAsia="黑体"/>
                <w:b/>
                <w:spacing w:val="20"/>
                <w:sz w:val="15"/>
                <w:szCs w:val="15"/>
              </w:rPr>
            </w:pPr>
            <w:r>
              <w:rPr>
                <w:rFonts w:hint="eastAsia" w:eastAsia="黑体"/>
                <w:b/>
                <w:spacing w:val="20"/>
                <w:sz w:val="15"/>
                <w:szCs w:val="15"/>
              </w:rPr>
              <w:t>标与</w:t>
            </w:r>
          </w:p>
          <w:p>
            <w:pPr>
              <w:spacing w:line="180" w:lineRule="exact"/>
              <w:ind w:firstLine="0" w:firstLineChars="0"/>
              <w:rPr>
                <w:rFonts w:eastAsia="黑体"/>
                <w:b/>
                <w:spacing w:val="20"/>
                <w:sz w:val="15"/>
                <w:szCs w:val="15"/>
              </w:rPr>
            </w:pPr>
            <w:r>
              <w:rPr>
                <w:rFonts w:hint="eastAsia" w:eastAsia="黑体"/>
                <w:b/>
                <w:spacing w:val="20"/>
                <w:sz w:val="15"/>
                <w:szCs w:val="15"/>
              </w:rPr>
              <w:t>总量</w:t>
            </w:r>
          </w:p>
          <w:p>
            <w:pPr>
              <w:spacing w:line="180" w:lineRule="exact"/>
              <w:ind w:firstLine="0" w:firstLineChars="0"/>
              <w:rPr>
                <w:rFonts w:eastAsia="黑体"/>
                <w:b/>
                <w:spacing w:val="20"/>
                <w:sz w:val="15"/>
                <w:szCs w:val="15"/>
              </w:rPr>
            </w:pPr>
            <w:r>
              <w:rPr>
                <w:rFonts w:hint="eastAsia" w:eastAsia="黑体"/>
                <w:b/>
                <w:spacing w:val="20"/>
                <w:sz w:val="15"/>
                <w:szCs w:val="15"/>
              </w:rPr>
              <w:t>控制</w:t>
            </w:r>
          </w:p>
          <w:p>
            <w:pPr>
              <w:spacing w:line="180" w:lineRule="exact"/>
              <w:ind w:firstLine="0" w:firstLineChars="0"/>
              <w:rPr>
                <w:rFonts w:eastAsia="黑体"/>
                <w:b/>
                <w:spacing w:val="20"/>
                <w:sz w:val="15"/>
                <w:szCs w:val="15"/>
              </w:rPr>
            </w:pPr>
            <w:r>
              <w:rPr>
                <w:rFonts w:hint="eastAsia" w:eastAsia="黑体"/>
                <w:b/>
                <w:spacing w:val="20"/>
                <w:sz w:val="15"/>
                <w:szCs w:val="15"/>
              </w:rPr>
              <w:t>（工</w:t>
            </w:r>
          </w:p>
          <w:p>
            <w:pPr>
              <w:spacing w:line="180" w:lineRule="exact"/>
              <w:ind w:firstLine="0" w:firstLineChars="0"/>
              <w:rPr>
                <w:rFonts w:eastAsia="黑体"/>
                <w:b/>
                <w:spacing w:val="20"/>
                <w:sz w:val="15"/>
                <w:szCs w:val="15"/>
              </w:rPr>
            </w:pPr>
            <w:r>
              <w:rPr>
                <w:rFonts w:hint="eastAsia" w:eastAsia="黑体"/>
                <w:b/>
                <w:spacing w:val="20"/>
                <w:sz w:val="15"/>
                <w:szCs w:val="15"/>
              </w:rPr>
              <w:t>业建</w:t>
            </w:r>
          </w:p>
          <w:p>
            <w:pPr>
              <w:spacing w:line="180" w:lineRule="exact"/>
              <w:ind w:firstLine="0" w:firstLineChars="0"/>
              <w:rPr>
                <w:rFonts w:eastAsia="黑体"/>
                <w:b/>
                <w:spacing w:val="20"/>
                <w:sz w:val="15"/>
                <w:szCs w:val="15"/>
              </w:rPr>
            </w:pPr>
            <w:r>
              <w:rPr>
                <w:rFonts w:hint="eastAsia" w:eastAsia="黑体"/>
                <w:b/>
                <w:spacing w:val="20"/>
                <w:sz w:val="15"/>
                <w:szCs w:val="15"/>
              </w:rPr>
              <w:t>设项</w:t>
            </w:r>
          </w:p>
          <w:p>
            <w:pPr>
              <w:spacing w:line="180" w:lineRule="exact"/>
              <w:ind w:firstLine="0" w:firstLineChars="0"/>
              <w:rPr>
                <w:rFonts w:eastAsia="黑体"/>
                <w:b/>
                <w:spacing w:val="20"/>
                <w:sz w:val="15"/>
                <w:szCs w:val="15"/>
              </w:rPr>
            </w:pPr>
            <w:r>
              <w:rPr>
                <w:rFonts w:hint="eastAsia" w:eastAsia="黑体"/>
                <w:b/>
                <w:spacing w:val="20"/>
                <w:sz w:val="15"/>
                <w:szCs w:val="15"/>
              </w:rPr>
              <w:t>目详</w:t>
            </w:r>
          </w:p>
          <w:p>
            <w:pPr>
              <w:spacing w:line="180" w:lineRule="exact"/>
              <w:ind w:firstLine="0" w:firstLineChars="0"/>
              <w:rPr>
                <w:rFonts w:eastAsia="黑体"/>
                <w:b/>
                <w:spacing w:val="20"/>
                <w:sz w:val="15"/>
                <w:szCs w:val="15"/>
              </w:rPr>
            </w:pPr>
            <w:r>
              <w:rPr>
                <w:rFonts w:hint="eastAsia" w:eastAsia="黑体"/>
                <w:b/>
                <w:spacing w:val="20"/>
                <w:sz w:val="15"/>
                <w:szCs w:val="15"/>
              </w:rPr>
              <w:t>填）</w:t>
            </w:r>
          </w:p>
        </w:tc>
        <w:tc>
          <w:tcPr>
            <w:tcW w:w="176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污染物</w:t>
            </w:r>
          </w:p>
        </w:tc>
        <w:tc>
          <w:tcPr>
            <w:tcW w:w="79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原有排</w:t>
            </w:r>
          </w:p>
          <w:p>
            <w:pPr>
              <w:spacing w:line="180" w:lineRule="exact"/>
              <w:ind w:firstLine="0" w:firstLineChars="0"/>
              <w:rPr>
                <w:b/>
                <w:sz w:val="15"/>
                <w:szCs w:val="15"/>
              </w:rPr>
            </w:pPr>
            <w:r>
              <w:rPr>
                <w:rFonts w:hint="eastAsia"/>
                <w:b/>
                <w:sz w:val="15"/>
                <w:szCs w:val="15"/>
              </w:rPr>
              <w:t>放量</w:t>
            </w:r>
            <w:r>
              <w:rPr>
                <w:b/>
                <w:sz w:val="15"/>
                <w:szCs w:val="15"/>
              </w:rPr>
              <w:t>(1)</w:t>
            </w:r>
          </w:p>
        </w:tc>
        <w:tc>
          <w:tcPr>
            <w:tcW w:w="133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本期工程实际排放浓度</w:t>
            </w:r>
            <w:r>
              <w:rPr>
                <w:b/>
                <w:sz w:val="15"/>
                <w:szCs w:val="15"/>
              </w:rPr>
              <w:t>(2)</w:t>
            </w:r>
          </w:p>
        </w:tc>
        <w:tc>
          <w:tcPr>
            <w:tcW w:w="106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本期工程允许排放浓度</w:t>
            </w:r>
            <w:r>
              <w:rPr>
                <w:b/>
                <w:sz w:val="15"/>
                <w:szCs w:val="15"/>
              </w:rPr>
              <w:t>(3)</w:t>
            </w:r>
          </w:p>
        </w:tc>
        <w:tc>
          <w:tcPr>
            <w:tcW w:w="78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本期工程产生量</w:t>
            </w:r>
            <w:r>
              <w:rPr>
                <w:b/>
                <w:sz w:val="15"/>
                <w:szCs w:val="15"/>
              </w:rPr>
              <w:t>(4)</w:t>
            </w:r>
          </w:p>
        </w:tc>
        <w:tc>
          <w:tcPr>
            <w:tcW w:w="104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本期工程自身削减量</w:t>
            </w:r>
            <w:r>
              <w:rPr>
                <w:b/>
                <w:sz w:val="15"/>
                <w:szCs w:val="15"/>
              </w:rPr>
              <w:t>(5)</w:t>
            </w:r>
          </w:p>
        </w:tc>
        <w:tc>
          <w:tcPr>
            <w:tcW w:w="95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本期工程实际排放量</w:t>
            </w:r>
            <w:r>
              <w:rPr>
                <w:b/>
                <w:sz w:val="15"/>
                <w:szCs w:val="15"/>
              </w:rPr>
              <w:t>(6)</w:t>
            </w:r>
          </w:p>
        </w:tc>
        <w:tc>
          <w:tcPr>
            <w:tcW w:w="114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本期工程核定排放总量</w:t>
            </w:r>
            <w:r>
              <w:rPr>
                <w:b/>
                <w:sz w:val="15"/>
                <w:szCs w:val="15"/>
              </w:rPr>
              <w:t>(7)</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本期工程</w:t>
            </w:r>
            <w:r>
              <w:rPr>
                <w:b/>
                <w:sz w:val="15"/>
                <w:szCs w:val="15"/>
              </w:rPr>
              <w:t>“</w:t>
            </w:r>
            <w:r>
              <w:rPr>
                <w:rFonts w:hint="eastAsia"/>
                <w:b/>
                <w:sz w:val="15"/>
                <w:szCs w:val="15"/>
              </w:rPr>
              <w:t>以新带老</w:t>
            </w:r>
            <w:r>
              <w:rPr>
                <w:b/>
                <w:sz w:val="15"/>
                <w:szCs w:val="15"/>
              </w:rPr>
              <w:t>”</w:t>
            </w:r>
            <w:r>
              <w:rPr>
                <w:rFonts w:hint="eastAsia"/>
                <w:b/>
                <w:sz w:val="15"/>
                <w:szCs w:val="15"/>
              </w:rPr>
              <w:t>削减量</w:t>
            </w:r>
            <w:r>
              <w:rPr>
                <w:b/>
                <w:sz w:val="15"/>
                <w:szCs w:val="15"/>
              </w:rPr>
              <w:t>(8)</w:t>
            </w:r>
          </w:p>
        </w:tc>
        <w:tc>
          <w:tcPr>
            <w:tcW w:w="100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全厂实际排放总量</w:t>
            </w:r>
            <w:r>
              <w:rPr>
                <w:b/>
                <w:sz w:val="15"/>
                <w:szCs w:val="15"/>
              </w:rPr>
              <w:t>(9)</w:t>
            </w:r>
          </w:p>
        </w:tc>
        <w:tc>
          <w:tcPr>
            <w:tcW w:w="91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全厂核定排放总量</w:t>
            </w:r>
            <w:r>
              <w:rPr>
                <w:b/>
                <w:sz w:val="15"/>
                <w:szCs w:val="15"/>
              </w:rPr>
              <w:t>(10)</w:t>
            </w:r>
          </w:p>
        </w:tc>
        <w:tc>
          <w:tcPr>
            <w:tcW w:w="1062"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区域平衡替代削减量</w:t>
            </w:r>
            <w:r>
              <w:rPr>
                <w:b/>
                <w:sz w:val="15"/>
                <w:szCs w:val="15"/>
              </w:rPr>
              <w:t>(11)</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排放增减量</w:t>
            </w:r>
            <w:r>
              <w:rPr>
                <w:b/>
                <w:sz w:val="15"/>
                <w:szCs w:val="15"/>
              </w:rPr>
              <w:t>(12)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39"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spacing w:val="20"/>
                <w:sz w:val="15"/>
                <w:szCs w:val="15"/>
              </w:rPr>
            </w:pPr>
          </w:p>
        </w:tc>
        <w:tc>
          <w:tcPr>
            <w:tcW w:w="176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废水</w:t>
            </w:r>
          </w:p>
        </w:tc>
        <w:tc>
          <w:tcPr>
            <w:tcW w:w="79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33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78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4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5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14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0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1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pStyle w:val="31"/>
              <w:rPr>
                <w:sz w:val="15"/>
                <w:szCs w:val="15"/>
              </w:rPr>
            </w:pPr>
            <w:r>
              <w:rPr>
                <w:bCs/>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39"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spacing w:val="20"/>
                <w:sz w:val="15"/>
                <w:szCs w:val="15"/>
              </w:rPr>
            </w:pPr>
          </w:p>
        </w:tc>
        <w:tc>
          <w:tcPr>
            <w:tcW w:w="176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化学需氧量</w:t>
            </w:r>
          </w:p>
        </w:tc>
        <w:tc>
          <w:tcPr>
            <w:tcW w:w="79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33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pPr>
              <w:spacing w:line="180" w:lineRule="exact"/>
              <w:ind w:firstLine="0" w:firstLineChars="0"/>
              <w:jc w:val="center"/>
              <w:rPr>
                <w:bCs/>
                <w:sz w:val="15"/>
                <w:szCs w:val="15"/>
              </w:rPr>
            </w:pPr>
            <w:r>
              <w:rPr>
                <w:bCs/>
                <w:sz w:val="15"/>
                <w:szCs w:val="15"/>
              </w:rPr>
              <w:t>--</w:t>
            </w:r>
          </w:p>
        </w:tc>
        <w:tc>
          <w:tcPr>
            <w:tcW w:w="106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pPr>
              <w:spacing w:line="180" w:lineRule="exact"/>
              <w:ind w:firstLine="0" w:firstLineChars="0"/>
              <w:jc w:val="center"/>
              <w:rPr>
                <w:bCs/>
                <w:sz w:val="15"/>
                <w:szCs w:val="15"/>
              </w:rPr>
            </w:pPr>
            <w:r>
              <w:rPr>
                <w:bCs/>
                <w:sz w:val="15"/>
                <w:szCs w:val="15"/>
              </w:rPr>
              <w:t>--</w:t>
            </w:r>
          </w:p>
        </w:tc>
        <w:tc>
          <w:tcPr>
            <w:tcW w:w="78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sz w:val="15"/>
                <w:szCs w:val="15"/>
              </w:rPr>
            </w:pPr>
            <w:r>
              <w:rPr>
                <w:bCs/>
                <w:sz w:val="15"/>
                <w:szCs w:val="15"/>
              </w:rPr>
              <w:t>--</w:t>
            </w:r>
          </w:p>
        </w:tc>
        <w:tc>
          <w:tcPr>
            <w:tcW w:w="104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sz w:val="15"/>
                <w:szCs w:val="15"/>
              </w:rPr>
            </w:pPr>
            <w:r>
              <w:rPr>
                <w:bCs/>
                <w:sz w:val="15"/>
                <w:szCs w:val="15"/>
              </w:rPr>
              <w:t>--</w:t>
            </w:r>
          </w:p>
        </w:tc>
        <w:tc>
          <w:tcPr>
            <w:tcW w:w="95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sz w:val="15"/>
                <w:szCs w:val="15"/>
              </w:rPr>
            </w:pPr>
            <w:r>
              <w:rPr>
                <w:bCs/>
                <w:sz w:val="15"/>
                <w:szCs w:val="15"/>
              </w:rPr>
              <w:t>--</w:t>
            </w:r>
          </w:p>
        </w:tc>
        <w:tc>
          <w:tcPr>
            <w:tcW w:w="114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0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1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pStyle w:val="31"/>
              <w:rPr>
                <w:bCs/>
                <w:sz w:val="15"/>
                <w:szCs w:val="15"/>
              </w:rPr>
            </w:pPr>
            <w:r>
              <w:rPr>
                <w:bCs/>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39"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spacing w:val="20"/>
                <w:sz w:val="15"/>
                <w:szCs w:val="15"/>
              </w:rPr>
            </w:pPr>
          </w:p>
        </w:tc>
        <w:tc>
          <w:tcPr>
            <w:tcW w:w="176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氨氮</w:t>
            </w:r>
          </w:p>
        </w:tc>
        <w:tc>
          <w:tcPr>
            <w:tcW w:w="79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33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pPr>
              <w:spacing w:line="180" w:lineRule="exact"/>
              <w:ind w:firstLine="0" w:firstLineChars="0"/>
              <w:jc w:val="center"/>
              <w:rPr>
                <w:bCs/>
                <w:sz w:val="15"/>
                <w:szCs w:val="15"/>
              </w:rPr>
            </w:pPr>
            <w:r>
              <w:rPr>
                <w:bCs/>
                <w:sz w:val="15"/>
                <w:szCs w:val="15"/>
              </w:rPr>
              <w:t>--</w:t>
            </w:r>
          </w:p>
        </w:tc>
        <w:tc>
          <w:tcPr>
            <w:tcW w:w="106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pPr>
              <w:spacing w:line="180" w:lineRule="exact"/>
              <w:ind w:firstLine="0" w:firstLineChars="0"/>
              <w:jc w:val="center"/>
              <w:rPr>
                <w:bCs/>
                <w:sz w:val="15"/>
                <w:szCs w:val="15"/>
              </w:rPr>
            </w:pPr>
            <w:r>
              <w:rPr>
                <w:bCs/>
                <w:sz w:val="15"/>
                <w:szCs w:val="15"/>
              </w:rPr>
              <w:t>--</w:t>
            </w:r>
          </w:p>
        </w:tc>
        <w:tc>
          <w:tcPr>
            <w:tcW w:w="78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sz w:val="15"/>
                <w:szCs w:val="15"/>
              </w:rPr>
            </w:pPr>
            <w:r>
              <w:rPr>
                <w:bCs/>
                <w:sz w:val="15"/>
                <w:szCs w:val="15"/>
              </w:rPr>
              <w:t>--</w:t>
            </w:r>
          </w:p>
        </w:tc>
        <w:tc>
          <w:tcPr>
            <w:tcW w:w="104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sz w:val="15"/>
                <w:szCs w:val="15"/>
              </w:rPr>
            </w:pPr>
            <w:r>
              <w:rPr>
                <w:bCs/>
                <w:sz w:val="15"/>
                <w:szCs w:val="15"/>
              </w:rPr>
              <w:t>--</w:t>
            </w:r>
          </w:p>
        </w:tc>
        <w:tc>
          <w:tcPr>
            <w:tcW w:w="95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sz w:val="15"/>
                <w:szCs w:val="15"/>
              </w:rPr>
            </w:pPr>
            <w:r>
              <w:rPr>
                <w:bCs/>
                <w:sz w:val="15"/>
                <w:szCs w:val="15"/>
              </w:rPr>
              <w:t>--</w:t>
            </w:r>
          </w:p>
        </w:tc>
        <w:tc>
          <w:tcPr>
            <w:tcW w:w="114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0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1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pStyle w:val="31"/>
              <w:rPr>
                <w:bCs/>
                <w:sz w:val="15"/>
                <w:szCs w:val="15"/>
              </w:rPr>
            </w:pPr>
            <w:r>
              <w:rPr>
                <w:bCs/>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39"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spacing w:val="20"/>
                <w:sz w:val="15"/>
                <w:szCs w:val="15"/>
              </w:rPr>
            </w:pPr>
          </w:p>
        </w:tc>
        <w:tc>
          <w:tcPr>
            <w:tcW w:w="176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总氮</w:t>
            </w:r>
          </w:p>
        </w:tc>
        <w:tc>
          <w:tcPr>
            <w:tcW w:w="79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33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78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sz w:val="15"/>
                <w:szCs w:val="15"/>
              </w:rPr>
            </w:pPr>
            <w:r>
              <w:rPr>
                <w:bCs/>
                <w:sz w:val="15"/>
                <w:szCs w:val="15"/>
              </w:rPr>
              <w:t>--</w:t>
            </w:r>
          </w:p>
        </w:tc>
        <w:tc>
          <w:tcPr>
            <w:tcW w:w="104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sz w:val="15"/>
                <w:szCs w:val="15"/>
              </w:rPr>
            </w:pPr>
            <w:r>
              <w:rPr>
                <w:bCs/>
                <w:sz w:val="15"/>
                <w:szCs w:val="15"/>
              </w:rPr>
              <w:t>--</w:t>
            </w:r>
          </w:p>
        </w:tc>
        <w:tc>
          <w:tcPr>
            <w:tcW w:w="95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sz w:val="15"/>
                <w:szCs w:val="15"/>
              </w:rPr>
            </w:pPr>
            <w:r>
              <w:rPr>
                <w:bCs/>
                <w:sz w:val="15"/>
                <w:szCs w:val="15"/>
              </w:rPr>
              <w:t>--</w:t>
            </w:r>
          </w:p>
        </w:tc>
        <w:tc>
          <w:tcPr>
            <w:tcW w:w="114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0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1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pStyle w:val="31"/>
              <w:rPr>
                <w:sz w:val="15"/>
                <w:szCs w:val="15"/>
              </w:rPr>
            </w:pPr>
            <w:r>
              <w:rPr>
                <w:bCs/>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39"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spacing w:val="20"/>
                <w:sz w:val="15"/>
                <w:szCs w:val="15"/>
              </w:rPr>
            </w:pPr>
          </w:p>
        </w:tc>
        <w:tc>
          <w:tcPr>
            <w:tcW w:w="176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rFonts w:eastAsia="黑体"/>
                <w:b/>
                <w:sz w:val="15"/>
                <w:szCs w:val="15"/>
              </w:rPr>
            </w:pPr>
            <w:r>
              <w:rPr>
                <w:rFonts w:hint="eastAsia"/>
                <w:b/>
                <w:sz w:val="15"/>
                <w:szCs w:val="15"/>
              </w:rPr>
              <w:t>废气</w:t>
            </w:r>
          </w:p>
        </w:tc>
        <w:tc>
          <w:tcPr>
            <w:tcW w:w="79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33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78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4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5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14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0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1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39"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spacing w:val="20"/>
                <w:sz w:val="15"/>
                <w:szCs w:val="15"/>
              </w:rPr>
            </w:pPr>
          </w:p>
        </w:tc>
        <w:tc>
          <w:tcPr>
            <w:tcW w:w="176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二氧化硫</w:t>
            </w:r>
          </w:p>
        </w:tc>
        <w:tc>
          <w:tcPr>
            <w:tcW w:w="79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33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78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4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5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14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0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1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39"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spacing w:val="20"/>
                <w:sz w:val="15"/>
                <w:szCs w:val="15"/>
              </w:rPr>
            </w:pPr>
          </w:p>
        </w:tc>
        <w:tc>
          <w:tcPr>
            <w:tcW w:w="176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烟尘</w:t>
            </w:r>
          </w:p>
        </w:tc>
        <w:tc>
          <w:tcPr>
            <w:tcW w:w="79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33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78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4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5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14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0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1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39"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spacing w:val="20"/>
                <w:sz w:val="15"/>
                <w:szCs w:val="15"/>
              </w:rPr>
            </w:pPr>
          </w:p>
        </w:tc>
        <w:tc>
          <w:tcPr>
            <w:tcW w:w="176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工业粉尘</w:t>
            </w:r>
          </w:p>
        </w:tc>
        <w:tc>
          <w:tcPr>
            <w:tcW w:w="79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33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78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4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5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14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0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1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39"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spacing w:val="20"/>
                <w:sz w:val="15"/>
                <w:szCs w:val="15"/>
              </w:rPr>
            </w:pPr>
          </w:p>
        </w:tc>
        <w:tc>
          <w:tcPr>
            <w:tcW w:w="176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sz w:val="15"/>
                <w:szCs w:val="15"/>
              </w:rPr>
            </w:pPr>
            <w:r>
              <w:rPr>
                <w:rFonts w:hint="eastAsia"/>
                <w:b/>
                <w:sz w:val="15"/>
                <w:szCs w:val="15"/>
              </w:rPr>
              <w:t>氮氧化物</w:t>
            </w:r>
          </w:p>
        </w:tc>
        <w:tc>
          <w:tcPr>
            <w:tcW w:w="79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33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78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4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5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14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0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1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39"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spacing w:val="20"/>
                <w:sz w:val="15"/>
                <w:szCs w:val="15"/>
              </w:rPr>
            </w:pPr>
          </w:p>
        </w:tc>
        <w:tc>
          <w:tcPr>
            <w:tcW w:w="176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rFonts w:eastAsia="黑体"/>
                <w:b/>
                <w:sz w:val="15"/>
                <w:szCs w:val="15"/>
              </w:rPr>
            </w:pPr>
            <w:r>
              <w:rPr>
                <w:rFonts w:hint="eastAsia"/>
                <w:b/>
                <w:sz w:val="15"/>
                <w:szCs w:val="15"/>
              </w:rPr>
              <w:t>工业固体废物</w:t>
            </w:r>
          </w:p>
        </w:tc>
        <w:tc>
          <w:tcPr>
            <w:tcW w:w="79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33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78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4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5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14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0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91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1062"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sz w:val="15"/>
                <w:szCs w:val="15"/>
              </w:rPr>
            </w:pPr>
            <w:r>
              <w:rPr>
                <w:bCs/>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69" w:hRule="exact"/>
          <w:jc w:val="center"/>
        </w:trPr>
        <w:tc>
          <w:tcPr>
            <w:tcW w:w="539"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spacing w:val="20"/>
                <w:sz w:val="15"/>
                <w:szCs w:val="15"/>
              </w:rPr>
            </w:pPr>
          </w:p>
        </w:tc>
        <w:tc>
          <w:tcPr>
            <w:tcW w:w="1062" w:type="dxa"/>
            <w:vMerge w:val="restart"/>
            <w:tcBorders>
              <w:top w:val="single" w:color="auto" w:sz="4" w:space="0"/>
              <w:left w:val="single" w:color="auto" w:sz="4" w:space="0"/>
              <w:bottom w:val="single" w:color="auto" w:sz="8" w:space="0"/>
              <w:right w:val="single" w:color="auto" w:sz="4" w:space="0"/>
            </w:tcBorders>
            <w:tcMar>
              <w:top w:w="0" w:type="dxa"/>
              <w:left w:w="57" w:type="dxa"/>
              <w:bottom w:w="0" w:type="dxa"/>
              <w:right w:w="57" w:type="dxa"/>
            </w:tcMar>
            <w:vAlign w:val="center"/>
          </w:tcPr>
          <w:p>
            <w:pPr>
              <w:spacing w:line="180" w:lineRule="exact"/>
              <w:ind w:firstLine="0" w:firstLineChars="0"/>
              <w:rPr>
                <w:sz w:val="15"/>
                <w:szCs w:val="15"/>
              </w:rPr>
            </w:pPr>
            <w:r>
              <w:rPr>
                <w:rFonts w:hint="eastAsia"/>
                <w:b/>
                <w:sz w:val="15"/>
                <w:szCs w:val="15"/>
              </w:rPr>
              <w:t>与项目有关的其他特征污染物</w:t>
            </w:r>
          </w:p>
        </w:tc>
        <w:tc>
          <w:tcPr>
            <w:tcW w:w="70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rFonts w:hint="eastAsia"/>
                <w:sz w:val="15"/>
                <w:szCs w:val="15"/>
              </w:rPr>
              <w:t>非甲烷总烃</w:t>
            </w:r>
          </w:p>
        </w:tc>
        <w:tc>
          <w:tcPr>
            <w:tcW w:w="79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133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106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78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rFonts w:hint="eastAsia"/>
                <w:bCs/>
                <w:sz w:val="15"/>
                <w:szCs w:val="15"/>
              </w:rPr>
              <w:t>40.919</w:t>
            </w:r>
          </w:p>
        </w:tc>
        <w:tc>
          <w:tcPr>
            <w:tcW w:w="104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rFonts w:hint="eastAsia"/>
                <w:bCs/>
                <w:sz w:val="15"/>
                <w:szCs w:val="15"/>
              </w:rPr>
              <w:t>38.679</w:t>
            </w:r>
          </w:p>
        </w:tc>
        <w:tc>
          <w:tcPr>
            <w:tcW w:w="95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rFonts w:hint="eastAsia"/>
                <w:bCs/>
                <w:sz w:val="15"/>
                <w:szCs w:val="15"/>
              </w:rPr>
              <w:t>2.240</w:t>
            </w:r>
          </w:p>
        </w:tc>
        <w:tc>
          <w:tcPr>
            <w:tcW w:w="114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rFonts w:hint="eastAsia"/>
                <w:bCs/>
                <w:sz w:val="15"/>
                <w:szCs w:val="15"/>
              </w:rPr>
              <w:t>2.240</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100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rFonts w:hint="eastAsia"/>
                <w:bCs/>
                <w:sz w:val="15"/>
                <w:szCs w:val="15"/>
              </w:rPr>
              <w:t>2.240</w:t>
            </w:r>
          </w:p>
        </w:tc>
        <w:tc>
          <w:tcPr>
            <w:tcW w:w="91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rFonts w:hint="eastAsia"/>
                <w:bCs/>
                <w:sz w:val="15"/>
                <w:szCs w:val="15"/>
              </w:rPr>
              <w:t>2.240</w:t>
            </w:r>
          </w:p>
        </w:tc>
        <w:tc>
          <w:tcPr>
            <w:tcW w:w="1062"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r>
              <w:rPr>
                <w:rFonts w:hint="eastAsia"/>
                <w:bCs/>
                <w:sz w:val="15"/>
                <w:szCs w:val="15"/>
              </w:rPr>
              <w:t>2.240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39"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spacing w:val="20"/>
                <w:sz w:val="15"/>
                <w:szCs w:val="15"/>
              </w:rPr>
            </w:pPr>
          </w:p>
        </w:tc>
        <w:tc>
          <w:tcPr>
            <w:tcW w:w="1062" w:type="dxa"/>
            <w:vMerge w:val="continue"/>
            <w:tcBorders>
              <w:top w:val="single" w:color="auto" w:sz="4" w:space="0"/>
              <w:left w:val="single" w:color="auto" w:sz="4" w:space="0"/>
              <w:bottom w:val="single" w:color="auto" w:sz="8" w:space="0"/>
              <w:right w:val="single" w:color="auto" w:sz="4" w:space="0"/>
            </w:tcBorders>
            <w:vAlign w:val="center"/>
          </w:tcPr>
          <w:p>
            <w:pPr>
              <w:widowControl/>
              <w:spacing w:line="180" w:lineRule="exact"/>
              <w:ind w:firstLine="0" w:firstLineChars="0"/>
              <w:rPr>
                <w:sz w:val="15"/>
                <w:szCs w:val="15"/>
              </w:rPr>
            </w:pPr>
          </w:p>
        </w:tc>
        <w:tc>
          <w:tcPr>
            <w:tcW w:w="70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79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133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106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78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104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95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114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22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100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919"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1062"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jc w:val="center"/>
              <w:rPr>
                <w:sz w:val="15"/>
                <w:szCs w:val="15"/>
              </w:rPr>
            </w:pPr>
            <w:r>
              <w:rPr>
                <w:bCs/>
                <w:sz w:val="15"/>
                <w:szCs w:val="15"/>
              </w:rPr>
              <w:t>--</w:t>
            </w:r>
          </w:p>
        </w:tc>
      </w:tr>
    </w:tbl>
    <w:p>
      <w:pPr>
        <w:pStyle w:val="31"/>
        <w:jc w:val="both"/>
        <w:rPr>
          <w:rFonts w:ascii="Calibri" w:hAnsi="Calibri"/>
          <w:sz w:val="15"/>
          <w:szCs w:val="15"/>
        </w:rPr>
      </w:pPr>
      <w:r>
        <w:rPr>
          <w:rFonts w:hint="eastAsia" w:ascii="Calibri" w:hAnsi="Calibri"/>
          <w:b/>
          <w:sz w:val="15"/>
          <w:szCs w:val="15"/>
        </w:rPr>
        <w:t>注</w:t>
      </w:r>
      <w:r>
        <w:rPr>
          <w:rFonts w:hint="eastAsia" w:ascii="Calibri" w:hAnsi="Calibri"/>
          <w:sz w:val="15"/>
          <w:szCs w:val="15"/>
        </w:rPr>
        <w:t>：</w:t>
      </w:r>
      <w:r>
        <w:rPr>
          <w:rFonts w:ascii="Calibri" w:hAnsi="Calibri"/>
          <w:sz w:val="15"/>
          <w:szCs w:val="15"/>
        </w:rPr>
        <w:t>1</w:t>
      </w:r>
      <w:r>
        <w:rPr>
          <w:rFonts w:hint="eastAsia" w:ascii="Calibri" w:hAnsi="Calibri"/>
          <w:sz w:val="15"/>
          <w:szCs w:val="15"/>
        </w:rPr>
        <w:t>、排放增减量：(</w:t>
      </w:r>
      <w:r>
        <w:rPr>
          <w:rFonts w:ascii="Calibri" w:hAnsi="Calibri"/>
          <w:sz w:val="15"/>
          <w:szCs w:val="15"/>
        </w:rPr>
        <w:t>+</w:t>
      </w:r>
      <w:r>
        <w:rPr>
          <w:rFonts w:hint="eastAsia" w:ascii="Calibri" w:hAnsi="Calibri"/>
          <w:sz w:val="15"/>
          <w:szCs w:val="15"/>
        </w:rPr>
        <w:t>)表示增加，(</w:t>
      </w:r>
      <w:r>
        <w:rPr>
          <w:rFonts w:ascii="Calibri" w:hAnsi="Calibri"/>
          <w:sz w:val="15"/>
          <w:szCs w:val="15"/>
        </w:rPr>
        <w:t>-</w:t>
      </w:r>
      <w:r>
        <w:rPr>
          <w:rFonts w:hint="eastAsia" w:ascii="Calibri" w:hAnsi="Calibri"/>
          <w:sz w:val="15"/>
          <w:szCs w:val="15"/>
        </w:rPr>
        <w:t>)表示减少。</w:t>
      </w:r>
      <w:r>
        <w:rPr>
          <w:rFonts w:ascii="Calibri" w:hAnsi="Calibri"/>
          <w:sz w:val="15"/>
          <w:szCs w:val="15"/>
        </w:rPr>
        <w:t>2</w:t>
      </w:r>
      <w:r>
        <w:rPr>
          <w:rFonts w:hint="eastAsia" w:ascii="Calibri" w:hAnsi="Calibri"/>
          <w:sz w:val="15"/>
          <w:szCs w:val="15"/>
        </w:rPr>
        <w:t>、</w:t>
      </w:r>
      <w:r>
        <w:rPr>
          <w:rFonts w:ascii="Calibri" w:hAnsi="Calibri"/>
          <w:sz w:val="15"/>
          <w:szCs w:val="15"/>
        </w:rPr>
        <w:t>(12)=(6)-(8)-(11)</w:t>
      </w:r>
      <w:r>
        <w:rPr>
          <w:rFonts w:hint="eastAsia" w:ascii="Calibri" w:hAnsi="Calibri"/>
          <w:sz w:val="15"/>
          <w:szCs w:val="15"/>
        </w:rPr>
        <w:t>，(</w:t>
      </w:r>
      <w:r>
        <w:rPr>
          <w:rFonts w:ascii="Calibri" w:hAnsi="Calibri"/>
          <w:sz w:val="15"/>
          <w:szCs w:val="15"/>
        </w:rPr>
        <w:t>9</w:t>
      </w:r>
      <w:r>
        <w:rPr>
          <w:rFonts w:hint="eastAsia" w:ascii="Calibri" w:hAnsi="Calibri"/>
          <w:sz w:val="15"/>
          <w:szCs w:val="15"/>
        </w:rPr>
        <w:t>)</w:t>
      </w:r>
      <w:r>
        <w:rPr>
          <w:rFonts w:ascii="Calibri" w:hAnsi="Calibri"/>
          <w:sz w:val="15"/>
          <w:szCs w:val="15"/>
        </w:rPr>
        <w:t>= (4)-(5)-(8)- (11) +</w:t>
      </w:r>
      <w:r>
        <w:rPr>
          <w:rFonts w:hint="eastAsia" w:ascii="Calibri" w:hAnsi="Calibri"/>
          <w:sz w:val="15"/>
          <w:szCs w:val="15"/>
        </w:rPr>
        <w:t>(</w:t>
      </w:r>
      <w:r>
        <w:rPr>
          <w:rFonts w:ascii="Calibri" w:hAnsi="Calibri"/>
          <w:sz w:val="15"/>
          <w:szCs w:val="15"/>
        </w:rPr>
        <w:t>1</w:t>
      </w:r>
      <w:r>
        <w:rPr>
          <w:rFonts w:hint="eastAsia" w:ascii="Calibri" w:hAnsi="Calibri"/>
          <w:sz w:val="15"/>
          <w:szCs w:val="15"/>
        </w:rPr>
        <w:t>)。</w:t>
      </w:r>
      <w:r>
        <w:rPr>
          <w:rFonts w:ascii="Calibri" w:hAnsi="Calibri"/>
          <w:sz w:val="15"/>
          <w:szCs w:val="15"/>
        </w:rPr>
        <w:t>3</w:t>
      </w:r>
      <w:r>
        <w:rPr>
          <w:rFonts w:hint="eastAsia" w:ascii="Calibri" w:hAnsi="Calibri"/>
          <w:sz w:val="15"/>
          <w:szCs w:val="15"/>
        </w:rPr>
        <w:t>、计量单位：废水排放量</w:t>
      </w:r>
      <w:r>
        <w:rPr>
          <w:rFonts w:ascii="Calibri" w:hAnsi="Calibri"/>
          <w:sz w:val="15"/>
          <w:szCs w:val="15"/>
        </w:rPr>
        <w:t>——</w:t>
      </w:r>
      <w:r>
        <w:rPr>
          <w:rFonts w:hint="eastAsia" w:ascii="Calibri" w:hAnsi="Calibri"/>
          <w:sz w:val="15"/>
          <w:szCs w:val="15"/>
        </w:rPr>
        <w:t>万吨</w:t>
      </w:r>
      <w:r>
        <w:rPr>
          <w:rFonts w:ascii="Calibri" w:hAnsi="Calibri"/>
          <w:sz w:val="15"/>
          <w:szCs w:val="15"/>
        </w:rPr>
        <w:t>/</w:t>
      </w:r>
      <w:r>
        <w:rPr>
          <w:rFonts w:hint="eastAsia" w:ascii="Calibri" w:hAnsi="Calibri"/>
          <w:sz w:val="15"/>
          <w:szCs w:val="15"/>
        </w:rPr>
        <w:t>年；废气排放量</w:t>
      </w:r>
      <w:r>
        <w:rPr>
          <w:rFonts w:ascii="Calibri" w:hAnsi="Calibri"/>
          <w:sz w:val="15"/>
          <w:szCs w:val="15"/>
        </w:rPr>
        <w:t>——</w:t>
      </w:r>
      <w:r>
        <w:rPr>
          <w:rFonts w:hint="eastAsia" w:ascii="Calibri" w:hAnsi="Calibri"/>
          <w:sz w:val="15"/>
          <w:szCs w:val="15"/>
        </w:rPr>
        <w:t>万标立方米</w:t>
      </w:r>
      <w:r>
        <w:rPr>
          <w:rFonts w:ascii="Calibri" w:hAnsi="Calibri"/>
          <w:sz w:val="15"/>
          <w:szCs w:val="15"/>
        </w:rPr>
        <w:t>/</w:t>
      </w:r>
      <w:r>
        <w:rPr>
          <w:rFonts w:hint="eastAsia" w:ascii="Calibri" w:hAnsi="Calibri"/>
          <w:sz w:val="15"/>
          <w:szCs w:val="15"/>
        </w:rPr>
        <w:t>年；工业固体废物排放量</w:t>
      </w:r>
      <w:r>
        <w:rPr>
          <w:rFonts w:ascii="Calibri" w:hAnsi="Calibri"/>
          <w:sz w:val="15"/>
          <w:szCs w:val="15"/>
        </w:rPr>
        <w:t>——</w:t>
      </w:r>
      <w:r>
        <w:rPr>
          <w:rFonts w:hint="eastAsia" w:ascii="Calibri" w:hAnsi="Calibri"/>
          <w:sz w:val="15"/>
          <w:szCs w:val="15"/>
        </w:rPr>
        <w:t>万吨</w:t>
      </w:r>
      <w:r>
        <w:rPr>
          <w:rFonts w:ascii="Calibri" w:hAnsi="Calibri"/>
          <w:sz w:val="15"/>
          <w:szCs w:val="15"/>
        </w:rPr>
        <w:t>/</w:t>
      </w:r>
      <w:r>
        <w:rPr>
          <w:rFonts w:hint="eastAsia" w:ascii="Calibri" w:hAnsi="Calibri"/>
          <w:sz w:val="15"/>
          <w:szCs w:val="15"/>
        </w:rPr>
        <w:t>年；水污染物排放浓度</w:t>
      </w:r>
      <w:r>
        <w:rPr>
          <w:rFonts w:ascii="Calibri" w:hAnsi="Calibri"/>
          <w:sz w:val="15"/>
          <w:szCs w:val="15"/>
        </w:rPr>
        <w:t>——</w:t>
      </w:r>
      <w:r>
        <w:rPr>
          <w:rFonts w:hint="eastAsia" w:ascii="Calibri" w:hAnsi="Calibri"/>
          <w:sz w:val="15"/>
          <w:szCs w:val="15"/>
        </w:rPr>
        <w:t>毫克</w:t>
      </w:r>
      <w:r>
        <w:rPr>
          <w:rFonts w:ascii="Calibri" w:hAnsi="Calibri"/>
          <w:sz w:val="15"/>
          <w:szCs w:val="15"/>
        </w:rPr>
        <w:t>/</w:t>
      </w:r>
      <w:r>
        <w:rPr>
          <w:rFonts w:hint="eastAsia" w:ascii="Calibri" w:hAnsi="Calibri"/>
          <w:sz w:val="15"/>
          <w:szCs w:val="15"/>
        </w:rPr>
        <w:t>升。</w:t>
      </w:r>
    </w:p>
    <w:p>
      <w:pPr>
        <w:ind w:firstLine="480"/>
        <w:sectPr>
          <w:pgSz w:w="16838" w:h="11906" w:orient="landscape"/>
          <w:pgMar w:top="851" w:right="720" w:bottom="851" w:left="720" w:header="851" w:footer="992" w:gutter="0"/>
          <w:cols w:space="425" w:num="1"/>
          <w:docGrid w:type="lines" w:linePitch="326" w:charSpace="0"/>
        </w:sectPr>
      </w:pPr>
    </w:p>
    <w:p>
      <w:pPr>
        <w:pStyle w:val="14"/>
        <w:rPr>
          <w:color w:val="FF0000"/>
        </w:rPr>
      </w:pPr>
      <w:bookmarkStart w:id="117" w:name="_Toc29797"/>
      <w:r>
        <w:rPr>
          <w:rFonts w:hint="eastAsia"/>
          <w:color w:val="FF0000"/>
        </w:rPr>
        <w:t>附件2 营业执照</w:t>
      </w:r>
      <w:bookmarkEnd w:id="117"/>
    </w:p>
    <w:p>
      <w:pPr>
        <w:pStyle w:val="31"/>
      </w:pPr>
      <w:r>
        <w:drawing>
          <wp:inline distT="0" distB="0" distL="0" distR="0">
            <wp:extent cx="7073265" cy="4828540"/>
            <wp:effectExtent l="0" t="0" r="0" b="0"/>
            <wp:docPr id="106097947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979473" name="图片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7078983" cy="4832804"/>
                    </a:xfrm>
                    <a:prstGeom prst="rect">
                      <a:avLst/>
                    </a:prstGeom>
                    <a:noFill/>
                    <a:ln>
                      <a:noFill/>
                    </a:ln>
                  </pic:spPr>
                </pic:pic>
              </a:graphicData>
            </a:graphic>
          </wp:inline>
        </w:drawing>
      </w:r>
    </w:p>
    <w:p>
      <w:pPr>
        <w:ind w:firstLine="480"/>
        <w:sectPr>
          <w:pgSz w:w="16838" w:h="11906" w:orient="landscape"/>
          <w:pgMar w:top="1531" w:right="1418" w:bottom="1588" w:left="1418" w:header="851" w:footer="992" w:gutter="0"/>
          <w:cols w:space="425" w:num="1"/>
          <w:docGrid w:type="lines" w:linePitch="326" w:charSpace="0"/>
        </w:sectPr>
      </w:pPr>
    </w:p>
    <w:p>
      <w:pPr>
        <w:pStyle w:val="14"/>
      </w:pPr>
      <w:bookmarkStart w:id="118" w:name="_Toc4879"/>
      <w:r>
        <w:rPr>
          <w:rFonts w:hint="eastAsia"/>
        </w:rPr>
        <w:t>附件3</w:t>
      </w:r>
      <w:r>
        <w:t xml:space="preserve"> </w:t>
      </w:r>
      <w:r>
        <w:rPr>
          <w:rFonts w:hint="eastAsia"/>
        </w:rPr>
        <w:t>法人身份证复印件</w:t>
      </w:r>
      <w:bookmarkEnd w:id="118"/>
    </w:p>
    <w:p>
      <w:pPr>
        <w:pStyle w:val="31"/>
      </w:pPr>
      <w:r>
        <w:drawing>
          <wp:inline distT="0" distB="0" distL="0" distR="0">
            <wp:extent cx="5274310" cy="5750560"/>
            <wp:effectExtent l="0" t="0" r="2540" b="2540"/>
            <wp:docPr id="7702290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229077" name="图片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74310" cy="5750560"/>
                    </a:xfrm>
                    <a:prstGeom prst="rect">
                      <a:avLst/>
                    </a:prstGeom>
                    <a:noFill/>
                    <a:ln>
                      <a:noFill/>
                    </a:ln>
                  </pic:spPr>
                </pic:pic>
              </a:graphicData>
            </a:graphic>
          </wp:inline>
        </w:drawing>
      </w:r>
    </w:p>
    <w:p>
      <w:pPr>
        <w:ind w:firstLine="480"/>
        <w:sectPr>
          <w:pgSz w:w="11906" w:h="16838"/>
          <w:pgMar w:top="1440" w:right="1800" w:bottom="1440" w:left="1800" w:header="851" w:footer="992" w:gutter="0"/>
          <w:cols w:space="425" w:num="1"/>
          <w:docGrid w:type="lines" w:linePitch="312" w:charSpace="0"/>
        </w:sectPr>
      </w:pPr>
    </w:p>
    <w:p>
      <w:pPr>
        <w:pStyle w:val="14"/>
      </w:pPr>
      <w:bookmarkStart w:id="119" w:name="_Toc23315"/>
      <w:r>
        <w:rPr>
          <w:rFonts w:hint="eastAsia"/>
        </w:rPr>
        <w:t>附件4 环评批复</w:t>
      </w:r>
      <w:bookmarkEnd w:id="119"/>
    </w:p>
    <w:p>
      <w:pPr>
        <w:pStyle w:val="31"/>
      </w:pPr>
      <w:r>
        <w:drawing>
          <wp:inline distT="0" distB="0" distL="0" distR="0">
            <wp:extent cx="5274310" cy="7045325"/>
            <wp:effectExtent l="0" t="0" r="2540" b="3175"/>
            <wp:docPr id="16380750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07500" name="图片 9"/>
                    <pic:cNvPicPr>
                      <a:picLocks noChangeAspect="1" noChangeArrowheads="1"/>
                    </pic:cNvPicPr>
                  </pic:nvPicPr>
                  <pic:blipFill>
                    <a:blip r:embed="rId28"/>
                    <a:srcRect/>
                    <a:stretch>
                      <a:fillRect/>
                    </a:stretch>
                  </pic:blipFill>
                  <pic:spPr>
                    <a:xfrm>
                      <a:off x="0" y="0"/>
                      <a:ext cx="5274310" cy="7045325"/>
                    </a:xfrm>
                    <a:prstGeom prst="rect">
                      <a:avLst/>
                    </a:prstGeom>
                    <a:noFill/>
                    <a:ln>
                      <a:noFill/>
                    </a:ln>
                  </pic:spPr>
                </pic:pic>
              </a:graphicData>
            </a:graphic>
          </wp:inline>
        </w:drawing>
      </w:r>
      <w:r>
        <w:drawing>
          <wp:inline distT="0" distB="0" distL="0" distR="0">
            <wp:extent cx="5274310" cy="7061200"/>
            <wp:effectExtent l="0" t="0" r="2540" b="6350"/>
            <wp:docPr id="18685777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577729" name="图片 10"/>
                    <pic:cNvPicPr>
                      <a:picLocks noChangeAspect="1" noChangeArrowheads="1"/>
                    </pic:cNvPicPr>
                  </pic:nvPicPr>
                  <pic:blipFill>
                    <a:blip r:embed="rId29"/>
                    <a:srcRect/>
                    <a:stretch>
                      <a:fillRect/>
                    </a:stretch>
                  </pic:blipFill>
                  <pic:spPr>
                    <a:xfrm>
                      <a:off x="0" y="0"/>
                      <a:ext cx="5274310" cy="7061200"/>
                    </a:xfrm>
                    <a:prstGeom prst="rect">
                      <a:avLst/>
                    </a:prstGeom>
                    <a:noFill/>
                    <a:ln>
                      <a:noFill/>
                    </a:ln>
                  </pic:spPr>
                </pic:pic>
              </a:graphicData>
            </a:graphic>
          </wp:inline>
        </w:drawing>
      </w:r>
      <w:r>
        <w:drawing>
          <wp:inline distT="0" distB="0" distL="0" distR="0">
            <wp:extent cx="5274310" cy="7183120"/>
            <wp:effectExtent l="0" t="0" r="2540" b="0"/>
            <wp:docPr id="170996117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61170" name="图片 11"/>
                    <pic:cNvPicPr>
                      <a:picLocks noChangeAspect="1" noChangeArrowheads="1"/>
                    </pic:cNvPicPr>
                  </pic:nvPicPr>
                  <pic:blipFill>
                    <a:blip r:embed="rId30"/>
                    <a:srcRect/>
                    <a:stretch>
                      <a:fillRect/>
                    </a:stretch>
                  </pic:blipFill>
                  <pic:spPr>
                    <a:xfrm>
                      <a:off x="0" y="0"/>
                      <a:ext cx="5274310" cy="7183120"/>
                    </a:xfrm>
                    <a:prstGeom prst="rect">
                      <a:avLst/>
                    </a:prstGeom>
                    <a:noFill/>
                    <a:ln>
                      <a:noFill/>
                    </a:ln>
                  </pic:spPr>
                </pic:pic>
              </a:graphicData>
            </a:graphic>
          </wp:inline>
        </w:drawing>
      </w:r>
    </w:p>
    <w:p>
      <w:pPr>
        <w:pStyle w:val="31"/>
      </w:pPr>
      <w:r>
        <w:drawing>
          <wp:inline distT="0" distB="0" distL="0" distR="0">
            <wp:extent cx="5274310" cy="7061200"/>
            <wp:effectExtent l="0" t="0" r="2540" b="6350"/>
            <wp:docPr id="65704084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040840" name="图片 12"/>
                    <pic:cNvPicPr>
                      <a:picLocks noChangeAspect="1" noChangeArrowheads="1"/>
                    </pic:cNvPicPr>
                  </pic:nvPicPr>
                  <pic:blipFill>
                    <a:blip r:embed="rId31"/>
                    <a:srcRect/>
                    <a:stretch>
                      <a:fillRect/>
                    </a:stretch>
                  </pic:blipFill>
                  <pic:spPr>
                    <a:xfrm>
                      <a:off x="0" y="0"/>
                      <a:ext cx="5274310" cy="7061200"/>
                    </a:xfrm>
                    <a:prstGeom prst="rect">
                      <a:avLst/>
                    </a:prstGeom>
                    <a:noFill/>
                    <a:ln>
                      <a:noFill/>
                    </a:ln>
                  </pic:spPr>
                </pic:pic>
              </a:graphicData>
            </a:graphic>
          </wp:inline>
        </w:drawing>
      </w:r>
      <w:r>
        <w:drawing>
          <wp:inline distT="0" distB="0" distL="0" distR="0">
            <wp:extent cx="5274310" cy="7276465"/>
            <wp:effectExtent l="0" t="0" r="2540" b="635"/>
            <wp:docPr id="1511755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75501" name="图片 13"/>
                    <pic:cNvPicPr>
                      <a:picLocks noChangeAspect="1" noChangeArrowheads="1"/>
                    </pic:cNvPicPr>
                  </pic:nvPicPr>
                  <pic:blipFill>
                    <a:blip r:embed="rId32"/>
                    <a:srcRect/>
                    <a:stretch>
                      <a:fillRect/>
                    </a:stretch>
                  </pic:blipFill>
                  <pic:spPr>
                    <a:xfrm>
                      <a:off x="0" y="0"/>
                      <a:ext cx="5274310" cy="7276465"/>
                    </a:xfrm>
                    <a:prstGeom prst="rect">
                      <a:avLst/>
                    </a:prstGeom>
                    <a:noFill/>
                    <a:ln>
                      <a:noFill/>
                    </a:ln>
                  </pic:spPr>
                </pic:pic>
              </a:graphicData>
            </a:graphic>
          </wp:inline>
        </w:drawing>
      </w:r>
      <w:r>
        <w:t xml:space="preserve"> </w:t>
      </w:r>
    </w:p>
    <w:p>
      <w:pPr>
        <w:pStyle w:val="31"/>
        <w:sectPr>
          <w:pgSz w:w="11906" w:h="16838"/>
          <w:pgMar w:top="1440" w:right="1800" w:bottom="1440" w:left="1800" w:header="851" w:footer="992" w:gutter="0"/>
          <w:cols w:space="425" w:num="1"/>
          <w:docGrid w:type="lines" w:linePitch="326" w:charSpace="0"/>
        </w:sectPr>
      </w:pPr>
    </w:p>
    <w:p>
      <w:pPr>
        <w:pStyle w:val="14"/>
      </w:pPr>
      <w:bookmarkStart w:id="120" w:name="_Toc10610"/>
      <w:r>
        <w:rPr>
          <w:rFonts w:hint="eastAsia"/>
        </w:rPr>
        <w:t>附件5</w:t>
      </w:r>
      <w:r>
        <w:t xml:space="preserve"> </w:t>
      </w:r>
      <w:r>
        <w:rPr>
          <w:rFonts w:hint="eastAsia"/>
        </w:rPr>
        <w:t>排污许可证</w:t>
      </w:r>
      <w:bookmarkEnd w:id="120"/>
    </w:p>
    <w:p>
      <w:pPr>
        <w:pStyle w:val="31"/>
        <w:tabs>
          <w:tab w:val="left" w:pos="2159"/>
          <w:tab w:val="center" w:pos="6979"/>
        </w:tabs>
        <w:jc w:val="left"/>
        <w:rPr>
          <w:rFonts w:ascii="Calibri" w:hAnsi="Calibri"/>
          <w:b/>
          <w:bCs/>
          <w:kern w:val="28"/>
          <w:sz w:val="30"/>
          <w:szCs w:val="32"/>
        </w:rPr>
      </w:pPr>
      <w:r>
        <w:rPr>
          <w:rFonts w:ascii="Calibri" w:hAnsi="Calibri"/>
          <w:b/>
          <w:bCs/>
          <w:kern w:val="28"/>
          <w:sz w:val="30"/>
          <w:szCs w:val="32"/>
        </w:rPr>
        <w:tab/>
      </w:r>
      <w:r>
        <w:rPr>
          <w:rFonts w:ascii="Calibri" w:hAnsi="Calibri"/>
          <w:b/>
          <w:bCs/>
          <w:kern w:val="28"/>
          <w:sz w:val="30"/>
          <w:szCs w:val="32"/>
        </w:rPr>
        <w:drawing>
          <wp:inline distT="0" distB="0" distL="0" distR="0">
            <wp:extent cx="4587240" cy="6526530"/>
            <wp:effectExtent l="1905" t="0" r="5715" b="5715"/>
            <wp:docPr id="17028504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850404" name="图片 1"/>
                    <pic:cNvPicPr>
                      <a:picLocks noChangeAspect="1" noChangeArrowheads="1"/>
                    </pic:cNvPicPr>
                  </pic:nvPicPr>
                  <pic:blipFill>
                    <a:blip r:embed="rId33"/>
                    <a:srcRect/>
                    <a:stretch>
                      <a:fillRect/>
                    </a:stretch>
                  </pic:blipFill>
                  <pic:spPr>
                    <a:xfrm rot="16200000">
                      <a:off x="0" y="0"/>
                      <a:ext cx="4596594" cy="6539793"/>
                    </a:xfrm>
                    <a:prstGeom prst="rect">
                      <a:avLst/>
                    </a:prstGeom>
                    <a:noFill/>
                    <a:ln>
                      <a:noFill/>
                    </a:ln>
                  </pic:spPr>
                </pic:pic>
              </a:graphicData>
            </a:graphic>
          </wp:inline>
        </w:drawing>
      </w:r>
      <w:r>
        <w:rPr>
          <w:rFonts w:ascii="Calibri" w:hAnsi="Calibri"/>
          <w:b/>
          <w:bCs/>
          <w:kern w:val="28"/>
          <w:sz w:val="30"/>
          <w:szCs w:val="32"/>
        </w:rPr>
        <w:tab/>
      </w:r>
    </w:p>
    <w:p>
      <w:pPr>
        <w:ind w:firstLine="480"/>
        <w:sectPr>
          <w:pgSz w:w="16838" w:h="11906" w:orient="landscape"/>
          <w:pgMar w:top="1800" w:right="1440" w:bottom="1800" w:left="1440" w:header="851" w:footer="992" w:gutter="0"/>
          <w:cols w:space="425" w:num="1"/>
          <w:docGrid w:type="lines" w:linePitch="326" w:charSpace="0"/>
        </w:sectPr>
      </w:pPr>
    </w:p>
    <w:p>
      <w:pPr>
        <w:pStyle w:val="14"/>
        <w:rPr>
          <w:color w:val="FF0000"/>
        </w:rPr>
      </w:pPr>
      <w:bookmarkStart w:id="121" w:name="_Toc21446"/>
      <w:r>
        <w:rPr>
          <w:rFonts w:hint="eastAsia"/>
          <w:color w:val="FF0000"/>
        </w:rPr>
        <w:t>附件6 危废合同</w:t>
      </w:r>
      <w:bookmarkEnd w:id="121"/>
    </w:p>
    <w:p>
      <w:pPr>
        <w:pStyle w:val="31"/>
        <w:rPr>
          <w:rFonts w:hint="eastAsia" w:eastAsia="宋体"/>
          <w:lang w:eastAsia="zh-CN"/>
        </w:rPr>
      </w:pPr>
      <w:r>
        <w:rPr>
          <w:rFonts w:hint="eastAsia" w:eastAsia="宋体"/>
          <w:lang w:eastAsia="zh-CN"/>
        </w:rPr>
        <w:drawing>
          <wp:inline distT="0" distB="0" distL="114300" distR="114300">
            <wp:extent cx="6854190" cy="4937760"/>
            <wp:effectExtent l="0" t="0" r="15240" b="3810"/>
            <wp:docPr id="8" name="图片 8" descr="d37dd633f8ee0694b2dfabf3a820badd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d37dd633f8ee0694b2dfabf3a820badd_"/>
                    <pic:cNvPicPr>
                      <a:picLocks noChangeAspect="1"/>
                    </pic:cNvPicPr>
                  </pic:nvPicPr>
                  <pic:blipFill>
                    <a:blip r:embed="rId34"/>
                    <a:stretch>
                      <a:fillRect/>
                    </a:stretch>
                  </pic:blipFill>
                  <pic:spPr>
                    <a:xfrm rot="16200000">
                      <a:off x="0" y="0"/>
                      <a:ext cx="6854190" cy="4937760"/>
                    </a:xfrm>
                    <a:prstGeom prst="rect">
                      <a:avLst/>
                    </a:prstGeom>
                  </pic:spPr>
                </pic:pic>
              </a:graphicData>
            </a:graphic>
          </wp:inline>
        </w:drawing>
      </w:r>
      <w:r>
        <w:rPr>
          <w:rFonts w:hint="eastAsia" w:eastAsia="宋体"/>
          <w:lang w:eastAsia="zh-CN"/>
        </w:rPr>
        <w:drawing>
          <wp:inline distT="0" distB="0" distL="114300" distR="114300">
            <wp:extent cx="5268595" cy="7372350"/>
            <wp:effectExtent l="0" t="0" r="8255" b="0"/>
            <wp:docPr id="9" name="图片 9" descr="609481560e7e1155e925da353837250d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609481560e7e1155e925da353837250d_"/>
                    <pic:cNvPicPr>
                      <a:picLocks noChangeAspect="1"/>
                    </pic:cNvPicPr>
                  </pic:nvPicPr>
                  <pic:blipFill>
                    <a:blip r:embed="rId35"/>
                    <a:stretch>
                      <a:fillRect/>
                    </a:stretch>
                  </pic:blipFill>
                  <pic:spPr>
                    <a:xfrm>
                      <a:off x="0" y="0"/>
                      <a:ext cx="5268595" cy="7372350"/>
                    </a:xfrm>
                    <a:prstGeom prst="rect">
                      <a:avLst/>
                    </a:prstGeom>
                  </pic:spPr>
                </pic:pic>
              </a:graphicData>
            </a:graphic>
          </wp:inline>
        </w:drawing>
      </w:r>
      <w:r>
        <w:rPr>
          <w:rFonts w:hint="eastAsia" w:eastAsia="宋体"/>
          <w:lang w:eastAsia="zh-CN"/>
        </w:rPr>
        <w:drawing>
          <wp:inline distT="0" distB="0" distL="114300" distR="114300">
            <wp:extent cx="5265420" cy="7302500"/>
            <wp:effectExtent l="0" t="0" r="11430" b="12700"/>
            <wp:docPr id="10" name="图片 10" descr="fa939c83ae9ecf7a7be0ccfea16acb10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a939c83ae9ecf7a7be0ccfea16acb10_"/>
                    <pic:cNvPicPr>
                      <a:picLocks noChangeAspect="1"/>
                    </pic:cNvPicPr>
                  </pic:nvPicPr>
                  <pic:blipFill>
                    <a:blip r:embed="rId36"/>
                    <a:stretch>
                      <a:fillRect/>
                    </a:stretch>
                  </pic:blipFill>
                  <pic:spPr>
                    <a:xfrm>
                      <a:off x="0" y="0"/>
                      <a:ext cx="5265420" cy="7302500"/>
                    </a:xfrm>
                    <a:prstGeom prst="rect">
                      <a:avLst/>
                    </a:prstGeom>
                  </pic:spPr>
                </pic:pic>
              </a:graphicData>
            </a:graphic>
          </wp:inline>
        </w:drawing>
      </w:r>
      <w:r>
        <w:rPr>
          <w:rFonts w:hint="eastAsia" w:eastAsia="宋体"/>
          <w:lang w:eastAsia="zh-CN"/>
        </w:rPr>
        <w:drawing>
          <wp:inline distT="0" distB="0" distL="114300" distR="114300">
            <wp:extent cx="5262245" cy="7172325"/>
            <wp:effectExtent l="0" t="0" r="14605" b="9525"/>
            <wp:docPr id="11" name="图片 11" descr="4e57f33d4ea8137f1ebacc6c0287e0c8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4e57f33d4ea8137f1ebacc6c0287e0c8_"/>
                    <pic:cNvPicPr>
                      <a:picLocks noChangeAspect="1"/>
                    </pic:cNvPicPr>
                  </pic:nvPicPr>
                  <pic:blipFill>
                    <a:blip r:embed="rId37"/>
                    <a:stretch>
                      <a:fillRect/>
                    </a:stretch>
                  </pic:blipFill>
                  <pic:spPr>
                    <a:xfrm>
                      <a:off x="0" y="0"/>
                      <a:ext cx="5262245" cy="7172325"/>
                    </a:xfrm>
                    <a:prstGeom prst="rect">
                      <a:avLst/>
                    </a:prstGeom>
                  </pic:spPr>
                </pic:pic>
              </a:graphicData>
            </a:graphic>
          </wp:inline>
        </w:drawing>
      </w:r>
      <w:r>
        <w:rPr>
          <w:rFonts w:hint="eastAsia" w:eastAsia="宋体"/>
          <w:lang w:eastAsia="zh-CN"/>
        </w:rPr>
        <w:drawing>
          <wp:inline distT="0" distB="0" distL="114300" distR="114300">
            <wp:extent cx="5255895" cy="7486650"/>
            <wp:effectExtent l="0" t="0" r="1905" b="0"/>
            <wp:docPr id="12" name="图片 12" descr="ba8d334c5a5509ac0ff6712ecf209417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ba8d334c5a5509ac0ff6712ecf209417_"/>
                    <pic:cNvPicPr>
                      <a:picLocks noChangeAspect="1"/>
                    </pic:cNvPicPr>
                  </pic:nvPicPr>
                  <pic:blipFill>
                    <a:blip r:embed="rId38"/>
                    <a:stretch>
                      <a:fillRect/>
                    </a:stretch>
                  </pic:blipFill>
                  <pic:spPr>
                    <a:xfrm>
                      <a:off x="0" y="0"/>
                      <a:ext cx="5255895" cy="7486650"/>
                    </a:xfrm>
                    <a:prstGeom prst="rect">
                      <a:avLst/>
                    </a:prstGeom>
                  </pic:spPr>
                </pic:pic>
              </a:graphicData>
            </a:graphic>
          </wp:inline>
        </w:drawing>
      </w:r>
      <w:r>
        <w:rPr>
          <w:rFonts w:hint="eastAsia" w:eastAsia="宋体"/>
          <w:lang w:eastAsia="zh-CN"/>
        </w:rPr>
        <w:drawing>
          <wp:inline distT="0" distB="0" distL="114300" distR="114300">
            <wp:extent cx="5263515" cy="7743825"/>
            <wp:effectExtent l="0" t="0" r="13335" b="9525"/>
            <wp:docPr id="13" name="图片 13" descr="b8ddf6dbc75100daab8685b78efbf20c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b8ddf6dbc75100daab8685b78efbf20c_"/>
                    <pic:cNvPicPr>
                      <a:picLocks noChangeAspect="1"/>
                    </pic:cNvPicPr>
                  </pic:nvPicPr>
                  <pic:blipFill>
                    <a:blip r:embed="rId39"/>
                    <a:stretch>
                      <a:fillRect/>
                    </a:stretch>
                  </pic:blipFill>
                  <pic:spPr>
                    <a:xfrm>
                      <a:off x="0" y="0"/>
                      <a:ext cx="5263515" cy="7743825"/>
                    </a:xfrm>
                    <a:prstGeom prst="rect">
                      <a:avLst/>
                    </a:prstGeom>
                  </pic:spPr>
                </pic:pic>
              </a:graphicData>
            </a:graphic>
          </wp:inline>
        </w:drawing>
      </w:r>
      <w:r>
        <w:rPr>
          <w:rFonts w:hint="eastAsia" w:eastAsia="宋体"/>
          <w:lang w:eastAsia="zh-CN"/>
        </w:rPr>
        <w:drawing>
          <wp:inline distT="0" distB="0" distL="114300" distR="114300">
            <wp:extent cx="5262880" cy="7489190"/>
            <wp:effectExtent l="0" t="0" r="13970" b="16510"/>
            <wp:docPr id="14" name="图片 14" descr="d46a6fe128094629e60d719724a1b218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d46a6fe128094629e60d719724a1b218_"/>
                    <pic:cNvPicPr>
                      <a:picLocks noChangeAspect="1"/>
                    </pic:cNvPicPr>
                  </pic:nvPicPr>
                  <pic:blipFill>
                    <a:blip r:embed="rId40"/>
                    <a:stretch>
                      <a:fillRect/>
                    </a:stretch>
                  </pic:blipFill>
                  <pic:spPr>
                    <a:xfrm>
                      <a:off x="0" y="0"/>
                      <a:ext cx="5262880" cy="7489190"/>
                    </a:xfrm>
                    <a:prstGeom prst="rect">
                      <a:avLst/>
                    </a:prstGeom>
                  </pic:spPr>
                </pic:pic>
              </a:graphicData>
            </a:graphic>
          </wp:inline>
        </w:drawing>
      </w:r>
    </w:p>
    <w:p>
      <w:pPr>
        <w:pStyle w:val="31"/>
      </w:pPr>
    </w:p>
    <w:p>
      <w:pPr>
        <w:pStyle w:val="31"/>
      </w:pPr>
    </w:p>
    <w:p>
      <w:pPr>
        <w:ind w:firstLine="480"/>
        <w:sectPr>
          <w:pgSz w:w="11906" w:h="16838"/>
          <w:pgMar w:top="1440" w:right="1800" w:bottom="1440" w:left="1800" w:header="851" w:footer="992" w:gutter="0"/>
          <w:cols w:space="425" w:num="1"/>
          <w:docGrid w:type="lines" w:linePitch="326" w:charSpace="0"/>
        </w:sectPr>
      </w:pPr>
    </w:p>
    <w:p>
      <w:pPr>
        <w:pStyle w:val="14"/>
        <w:rPr>
          <w:color w:val="FF0000"/>
        </w:rPr>
      </w:pPr>
      <w:bookmarkStart w:id="122" w:name="_Toc9179"/>
      <w:r>
        <w:rPr>
          <w:rFonts w:hint="eastAsia"/>
          <w:color w:val="FF0000"/>
        </w:rPr>
        <w:t>附件</w:t>
      </w:r>
      <w:r>
        <w:rPr>
          <w:rFonts w:hint="eastAsia"/>
          <w:color w:val="FF0000"/>
          <w:lang w:val="en-US" w:eastAsia="zh-CN"/>
        </w:rPr>
        <w:t>7</w:t>
      </w:r>
      <w:r>
        <w:rPr>
          <w:color w:val="FF0000"/>
        </w:rPr>
        <w:t xml:space="preserve"> </w:t>
      </w:r>
      <w:r>
        <w:rPr>
          <w:rFonts w:hint="eastAsia"/>
          <w:color w:val="FF0000"/>
        </w:rPr>
        <w:t>监测报告</w:t>
      </w:r>
      <w:bookmarkEnd w:id="122"/>
    </w:p>
    <w:p>
      <w:pPr>
        <w:pStyle w:val="31"/>
      </w:pPr>
      <w:r>
        <w:drawing>
          <wp:inline distT="0" distB="0" distL="0" distR="0">
            <wp:extent cx="5543550" cy="7834630"/>
            <wp:effectExtent l="0" t="0" r="0" b="0"/>
            <wp:docPr id="14191252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125204" name="图片 3"/>
                    <pic:cNvPicPr>
                      <a:picLocks noChangeAspect="1" noChangeArrowheads="1"/>
                    </pic:cNvPicPr>
                  </pic:nvPicPr>
                  <pic:blipFill>
                    <a:blip r:embed="rId41"/>
                    <a:srcRect/>
                    <a:stretch>
                      <a:fillRect/>
                    </a:stretch>
                  </pic:blipFill>
                  <pic:spPr>
                    <a:xfrm>
                      <a:off x="0" y="0"/>
                      <a:ext cx="5543550" cy="7834630"/>
                    </a:xfrm>
                    <a:prstGeom prst="rect">
                      <a:avLst/>
                    </a:prstGeom>
                    <a:noFill/>
                    <a:ln>
                      <a:noFill/>
                    </a:ln>
                  </pic:spPr>
                </pic:pic>
              </a:graphicData>
            </a:graphic>
          </wp:inline>
        </w:drawing>
      </w:r>
      <w:r>
        <w:t xml:space="preserve">    </w:t>
      </w:r>
      <w:r>
        <w:drawing>
          <wp:inline distT="0" distB="0" distL="0" distR="0">
            <wp:extent cx="5543550" cy="7834630"/>
            <wp:effectExtent l="0" t="0" r="0" b="0"/>
            <wp:docPr id="12904471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447139" name="图片 4"/>
                    <pic:cNvPicPr>
                      <a:picLocks noChangeAspect="1" noChangeArrowheads="1"/>
                    </pic:cNvPicPr>
                  </pic:nvPicPr>
                  <pic:blipFill>
                    <a:blip r:embed="rId42"/>
                    <a:srcRect/>
                    <a:stretch>
                      <a:fillRect/>
                    </a:stretch>
                  </pic:blipFill>
                  <pic:spPr>
                    <a:xfrm>
                      <a:off x="0" y="0"/>
                      <a:ext cx="5543550" cy="7834630"/>
                    </a:xfrm>
                    <a:prstGeom prst="rect">
                      <a:avLst/>
                    </a:prstGeom>
                    <a:noFill/>
                    <a:ln>
                      <a:noFill/>
                    </a:ln>
                  </pic:spPr>
                </pic:pic>
              </a:graphicData>
            </a:graphic>
          </wp:inline>
        </w:drawing>
      </w:r>
      <w:r>
        <w:drawing>
          <wp:inline distT="0" distB="0" distL="0" distR="0">
            <wp:extent cx="5543550" cy="7834630"/>
            <wp:effectExtent l="0" t="0" r="0" b="0"/>
            <wp:docPr id="8037501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750131" name="图片 5"/>
                    <pic:cNvPicPr>
                      <a:picLocks noChangeAspect="1" noChangeArrowheads="1"/>
                    </pic:cNvPicPr>
                  </pic:nvPicPr>
                  <pic:blipFill>
                    <a:blip r:embed="rId43"/>
                    <a:srcRect/>
                    <a:stretch>
                      <a:fillRect/>
                    </a:stretch>
                  </pic:blipFill>
                  <pic:spPr>
                    <a:xfrm>
                      <a:off x="0" y="0"/>
                      <a:ext cx="5543550" cy="7834630"/>
                    </a:xfrm>
                    <a:prstGeom prst="rect">
                      <a:avLst/>
                    </a:prstGeom>
                    <a:noFill/>
                    <a:ln>
                      <a:noFill/>
                    </a:ln>
                  </pic:spPr>
                </pic:pic>
              </a:graphicData>
            </a:graphic>
          </wp:inline>
        </w:drawing>
      </w:r>
      <w:r>
        <w:drawing>
          <wp:inline distT="0" distB="0" distL="0" distR="0">
            <wp:extent cx="5543550" cy="7834630"/>
            <wp:effectExtent l="0" t="0" r="0" b="0"/>
            <wp:docPr id="19334966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496613" name="图片 6"/>
                    <pic:cNvPicPr>
                      <a:picLocks noChangeAspect="1" noChangeArrowheads="1"/>
                    </pic:cNvPicPr>
                  </pic:nvPicPr>
                  <pic:blipFill>
                    <a:blip r:embed="rId44"/>
                    <a:srcRect/>
                    <a:stretch>
                      <a:fillRect/>
                    </a:stretch>
                  </pic:blipFill>
                  <pic:spPr>
                    <a:xfrm>
                      <a:off x="0" y="0"/>
                      <a:ext cx="5543550" cy="7834630"/>
                    </a:xfrm>
                    <a:prstGeom prst="rect">
                      <a:avLst/>
                    </a:prstGeom>
                    <a:noFill/>
                    <a:ln>
                      <a:noFill/>
                    </a:ln>
                  </pic:spPr>
                </pic:pic>
              </a:graphicData>
            </a:graphic>
          </wp:inline>
        </w:drawing>
      </w:r>
      <w:r>
        <w:drawing>
          <wp:inline distT="0" distB="0" distL="0" distR="0">
            <wp:extent cx="5543550" cy="7834630"/>
            <wp:effectExtent l="0" t="0" r="0" b="0"/>
            <wp:docPr id="3994083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08355" name="图片 7"/>
                    <pic:cNvPicPr>
                      <a:picLocks noChangeAspect="1" noChangeArrowheads="1"/>
                    </pic:cNvPicPr>
                  </pic:nvPicPr>
                  <pic:blipFill>
                    <a:blip r:embed="rId45"/>
                    <a:srcRect/>
                    <a:stretch>
                      <a:fillRect/>
                    </a:stretch>
                  </pic:blipFill>
                  <pic:spPr>
                    <a:xfrm>
                      <a:off x="0" y="0"/>
                      <a:ext cx="5543550" cy="7834630"/>
                    </a:xfrm>
                    <a:prstGeom prst="rect">
                      <a:avLst/>
                    </a:prstGeom>
                    <a:noFill/>
                    <a:ln>
                      <a:noFill/>
                    </a:ln>
                  </pic:spPr>
                </pic:pic>
              </a:graphicData>
            </a:graphic>
          </wp:inline>
        </w:drawing>
      </w:r>
      <w:r>
        <w:drawing>
          <wp:inline distT="0" distB="0" distL="0" distR="0">
            <wp:extent cx="5543550" cy="7834630"/>
            <wp:effectExtent l="0" t="0" r="0" b="0"/>
            <wp:docPr id="199603509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35091" name="图片 8"/>
                    <pic:cNvPicPr>
                      <a:picLocks noChangeAspect="1" noChangeArrowheads="1"/>
                    </pic:cNvPicPr>
                  </pic:nvPicPr>
                  <pic:blipFill>
                    <a:blip r:embed="rId46"/>
                    <a:srcRect/>
                    <a:stretch>
                      <a:fillRect/>
                    </a:stretch>
                  </pic:blipFill>
                  <pic:spPr>
                    <a:xfrm>
                      <a:off x="0" y="0"/>
                      <a:ext cx="5543550" cy="7834630"/>
                    </a:xfrm>
                    <a:prstGeom prst="rect">
                      <a:avLst/>
                    </a:prstGeom>
                    <a:noFill/>
                    <a:ln>
                      <a:noFill/>
                    </a:ln>
                  </pic:spPr>
                </pic:pic>
              </a:graphicData>
            </a:graphic>
          </wp:inline>
        </w:drawing>
      </w:r>
      <w:r>
        <w:drawing>
          <wp:inline distT="0" distB="0" distL="0" distR="0">
            <wp:extent cx="5543550" cy="7834630"/>
            <wp:effectExtent l="0" t="0" r="0" b="0"/>
            <wp:docPr id="104746227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462277" name="图片 9"/>
                    <pic:cNvPicPr>
                      <a:picLocks noChangeAspect="1" noChangeArrowheads="1"/>
                    </pic:cNvPicPr>
                  </pic:nvPicPr>
                  <pic:blipFill>
                    <a:blip r:embed="rId47"/>
                    <a:srcRect/>
                    <a:stretch>
                      <a:fillRect/>
                    </a:stretch>
                  </pic:blipFill>
                  <pic:spPr>
                    <a:xfrm>
                      <a:off x="0" y="0"/>
                      <a:ext cx="5543550" cy="7834630"/>
                    </a:xfrm>
                    <a:prstGeom prst="rect">
                      <a:avLst/>
                    </a:prstGeom>
                    <a:noFill/>
                    <a:ln>
                      <a:noFill/>
                    </a:ln>
                  </pic:spPr>
                </pic:pic>
              </a:graphicData>
            </a:graphic>
          </wp:inline>
        </w:drawing>
      </w:r>
      <w:r>
        <w:drawing>
          <wp:inline distT="0" distB="0" distL="0" distR="0">
            <wp:extent cx="5543550" cy="7901305"/>
            <wp:effectExtent l="0" t="0" r="0" b="4445"/>
            <wp:docPr id="6618074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07456" name="图片 3"/>
                    <pic:cNvPicPr>
                      <a:picLocks noChangeAspect="1" noChangeArrowheads="1"/>
                    </pic:cNvPicPr>
                  </pic:nvPicPr>
                  <pic:blipFill>
                    <a:blip r:embed="rId48"/>
                    <a:srcRect/>
                    <a:stretch>
                      <a:fillRect/>
                    </a:stretch>
                  </pic:blipFill>
                  <pic:spPr>
                    <a:xfrm>
                      <a:off x="0" y="0"/>
                      <a:ext cx="5543550" cy="7901305"/>
                    </a:xfrm>
                    <a:prstGeom prst="rect">
                      <a:avLst/>
                    </a:prstGeom>
                    <a:noFill/>
                    <a:ln>
                      <a:noFill/>
                    </a:ln>
                  </pic:spPr>
                </pic:pic>
              </a:graphicData>
            </a:graphic>
          </wp:inline>
        </w:drawing>
      </w:r>
      <w:r>
        <w:drawing>
          <wp:inline distT="0" distB="0" distL="0" distR="0">
            <wp:extent cx="5543550" cy="7912100"/>
            <wp:effectExtent l="0" t="0" r="0" b="0"/>
            <wp:docPr id="8561316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131645" name="图片 4"/>
                    <pic:cNvPicPr>
                      <a:picLocks noChangeAspect="1" noChangeArrowheads="1"/>
                    </pic:cNvPicPr>
                  </pic:nvPicPr>
                  <pic:blipFill>
                    <a:blip r:embed="rId49"/>
                    <a:srcRect/>
                    <a:stretch>
                      <a:fillRect/>
                    </a:stretch>
                  </pic:blipFill>
                  <pic:spPr>
                    <a:xfrm>
                      <a:off x="0" y="0"/>
                      <a:ext cx="5543550" cy="7912100"/>
                    </a:xfrm>
                    <a:prstGeom prst="rect">
                      <a:avLst/>
                    </a:prstGeom>
                    <a:noFill/>
                    <a:ln>
                      <a:noFill/>
                    </a:ln>
                  </pic:spPr>
                </pic:pic>
              </a:graphicData>
            </a:graphic>
          </wp:inline>
        </w:drawing>
      </w:r>
      <w:r>
        <w:drawing>
          <wp:inline distT="0" distB="0" distL="0" distR="0">
            <wp:extent cx="5543550" cy="7912100"/>
            <wp:effectExtent l="0" t="0" r="0" b="0"/>
            <wp:docPr id="3337084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708415" name="图片 5"/>
                    <pic:cNvPicPr>
                      <a:picLocks noChangeAspect="1" noChangeArrowheads="1"/>
                    </pic:cNvPicPr>
                  </pic:nvPicPr>
                  <pic:blipFill>
                    <a:blip r:embed="rId50"/>
                    <a:srcRect/>
                    <a:stretch>
                      <a:fillRect/>
                    </a:stretch>
                  </pic:blipFill>
                  <pic:spPr>
                    <a:xfrm>
                      <a:off x="0" y="0"/>
                      <a:ext cx="5543550" cy="7912100"/>
                    </a:xfrm>
                    <a:prstGeom prst="rect">
                      <a:avLst/>
                    </a:prstGeom>
                    <a:noFill/>
                    <a:ln>
                      <a:noFill/>
                    </a:ln>
                  </pic:spPr>
                </pic:pic>
              </a:graphicData>
            </a:graphic>
          </wp:inline>
        </w:drawing>
      </w:r>
      <w:r>
        <w:drawing>
          <wp:inline distT="0" distB="0" distL="0" distR="0">
            <wp:extent cx="5543550" cy="7912100"/>
            <wp:effectExtent l="0" t="0" r="0" b="0"/>
            <wp:docPr id="8094250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425030" name="图片 6"/>
                    <pic:cNvPicPr>
                      <a:picLocks noChangeAspect="1" noChangeArrowheads="1"/>
                    </pic:cNvPicPr>
                  </pic:nvPicPr>
                  <pic:blipFill>
                    <a:blip r:embed="rId51"/>
                    <a:srcRect/>
                    <a:stretch>
                      <a:fillRect/>
                    </a:stretch>
                  </pic:blipFill>
                  <pic:spPr>
                    <a:xfrm>
                      <a:off x="0" y="0"/>
                      <a:ext cx="5543550" cy="7912100"/>
                    </a:xfrm>
                    <a:prstGeom prst="rect">
                      <a:avLst/>
                    </a:prstGeom>
                    <a:noFill/>
                    <a:ln>
                      <a:noFill/>
                    </a:ln>
                  </pic:spPr>
                </pic:pic>
              </a:graphicData>
            </a:graphic>
          </wp:inline>
        </w:drawing>
      </w:r>
      <w:r>
        <w:drawing>
          <wp:inline distT="0" distB="0" distL="0" distR="0">
            <wp:extent cx="5543550" cy="7912100"/>
            <wp:effectExtent l="0" t="0" r="0" b="0"/>
            <wp:docPr id="13973019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01928" name="图片 7"/>
                    <pic:cNvPicPr>
                      <a:picLocks noChangeAspect="1" noChangeArrowheads="1"/>
                    </pic:cNvPicPr>
                  </pic:nvPicPr>
                  <pic:blipFill>
                    <a:blip r:embed="rId52"/>
                    <a:srcRect/>
                    <a:stretch>
                      <a:fillRect/>
                    </a:stretch>
                  </pic:blipFill>
                  <pic:spPr>
                    <a:xfrm>
                      <a:off x="0" y="0"/>
                      <a:ext cx="5543550" cy="7912100"/>
                    </a:xfrm>
                    <a:prstGeom prst="rect">
                      <a:avLst/>
                    </a:prstGeom>
                    <a:noFill/>
                    <a:ln>
                      <a:noFill/>
                    </a:ln>
                  </pic:spPr>
                </pic:pic>
              </a:graphicData>
            </a:graphic>
          </wp:inline>
        </w:drawing>
      </w:r>
      <w:r>
        <w:drawing>
          <wp:inline distT="0" distB="0" distL="0" distR="0">
            <wp:extent cx="5543550" cy="7912100"/>
            <wp:effectExtent l="0" t="0" r="0" b="0"/>
            <wp:docPr id="9106550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655028" name="图片 8"/>
                    <pic:cNvPicPr>
                      <a:picLocks noChangeAspect="1" noChangeArrowheads="1"/>
                    </pic:cNvPicPr>
                  </pic:nvPicPr>
                  <pic:blipFill>
                    <a:blip r:embed="rId53"/>
                    <a:srcRect/>
                    <a:stretch>
                      <a:fillRect/>
                    </a:stretch>
                  </pic:blipFill>
                  <pic:spPr>
                    <a:xfrm>
                      <a:off x="0" y="0"/>
                      <a:ext cx="5543550" cy="7912100"/>
                    </a:xfrm>
                    <a:prstGeom prst="rect">
                      <a:avLst/>
                    </a:prstGeom>
                    <a:noFill/>
                    <a:ln>
                      <a:noFill/>
                    </a:ln>
                  </pic:spPr>
                </pic:pic>
              </a:graphicData>
            </a:graphic>
          </wp:inline>
        </w:drawing>
      </w:r>
      <w:r>
        <w:drawing>
          <wp:inline distT="0" distB="0" distL="0" distR="0">
            <wp:extent cx="5543550" cy="7912100"/>
            <wp:effectExtent l="0" t="0" r="0" b="0"/>
            <wp:docPr id="154189607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896074" name="图片 9"/>
                    <pic:cNvPicPr>
                      <a:picLocks noChangeAspect="1" noChangeArrowheads="1"/>
                    </pic:cNvPicPr>
                  </pic:nvPicPr>
                  <pic:blipFill>
                    <a:blip r:embed="rId54"/>
                    <a:srcRect/>
                    <a:stretch>
                      <a:fillRect/>
                    </a:stretch>
                  </pic:blipFill>
                  <pic:spPr>
                    <a:xfrm>
                      <a:off x="0" y="0"/>
                      <a:ext cx="5543550" cy="7912100"/>
                    </a:xfrm>
                    <a:prstGeom prst="rect">
                      <a:avLst/>
                    </a:prstGeom>
                    <a:noFill/>
                    <a:ln>
                      <a:noFill/>
                    </a:ln>
                  </pic:spPr>
                </pic:pic>
              </a:graphicData>
            </a:graphic>
          </wp:inline>
        </w:drawing>
      </w:r>
      <w:r>
        <w:drawing>
          <wp:inline distT="0" distB="0" distL="114300" distR="114300">
            <wp:extent cx="5429250" cy="784860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55"/>
                    <a:stretch>
                      <a:fillRect/>
                    </a:stretch>
                  </pic:blipFill>
                  <pic:spPr>
                    <a:xfrm>
                      <a:off x="0" y="0"/>
                      <a:ext cx="5429250" cy="7848600"/>
                    </a:xfrm>
                    <a:prstGeom prst="rect">
                      <a:avLst/>
                    </a:prstGeom>
                    <a:noFill/>
                    <a:ln>
                      <a:noFill/>
                    </a:ln>
                  </pic:spPr>
                </pic:pic>
              </a:graphicData>
            </a:graphic>
          </wp:inline>
        </w:drawing>
      </w:r>
      <w:r>
        <w:drawing>
          <wp:inline distT="0" distB="0" distL="0" distR="0">
            <wp:extent cx="5543550" cy="7912100"/>
            <wp:effectExtent l="0" t="0" r="0" b="0"/>
            <wp:docPr id="1075292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29237" name="图片 11"/>
                    <pic:cNvPicPr>
                      <a:picLocks noChangeAspect="1" noChangeArrowheads="1"/>
                    </pic:cNvPicPr>
                  </pic:nvPicPr>
                  <pic:blipFill>
                    <a:blip r:embed="rId56"/>
                    <a:srcRect/>
                    <a:stretch>
                      <a:fillRect/>
                    </a:stretch>
                  </pic:blipFill>
                  <pic:spPr>
                    <a:xfrm>
                      <a:off x="0" y="0"/>
                      <a:ext cx="5543550" cy="7912100"/>
                    </a:xfrm>
                    <a:prstGeom prst="rect">
                      <a:avLst/>
                    </a:prstGeom>
                    <a:noFill/>
                    <a:ln>
                      <a:noFill/>
                    </a:ln>
                  </pic:spPr>
                </pic:pic>
              </a:graphicData>
            </a:graphic>
          </wp:inline>
        </w:drawing>
      </w:r>
    </w:p>
    <w:p>
      <w:pPr>
        <w:pStyle w:val="31"/>
        <w:sectPr>
          <w:pgSz w:w="11906" w:h="16838"/>
          <w:pgMar w:top="1304" w:right="1588" w:bottom="1304" w:left="1588" w:header="851" w:footer="992" w:gutter="0"/>
          <w:cols w:space="425" w:num="1"/>
          <w:docGrid w:type="lines" w:linePitch="312" w:charSpace="0"/>
        </w:sectPr>
      </w:pPr>
    </w:p>
    <w:p>
      <w:pPr>
        <w:pStyle w:val="14"/>
        <w:rPr>
          <w:rFonts w:hint="default" w:eastAsia="宋体"/>
          <w:color w:val="FF0000"/>
          <w:lang w:val="en-US" w:eastAsia="zh-CN"/>
        </w:rPr>
      </w:pPr>
      <w:bookmarkStart w:id="123" w:name="_Toc25834"/>
      <w:r>
        <w:rPr>
          <w:rFonts w:hint="eastAsia"/>
          <w:color w:val="FF0000"/>
        </w:rPr>
        <w:t>附件</w:t>
      </w:r>
      <w:r>
        <w:rPr>
          <w:rFonts w:hint="eastAsia"/>
          <w:color w:val="FF0000"/>
          <w:lang w:val="en-US" w:eastAsia="zh-CN"/>
        </w:rPr>
        <w:t>8</w:t>
      </w:r>
      <w:r>
        <w:rPr>
          <w:color w:val="FF0000"/>
        </w:rPr>
        <w:t xml:space="preserve"> </w:t>
      </w:r>
      <w:r>
        <w:rPr>
          <w:rFonts w:hint="eastAsia"/>
          <w:color w:val="FF0000"/>
          <w:lang w:val="en-US" w:eastAsia="zh-CN"/>
        </w:rPr>
        <w:t>监测委托书</w:t>
      </w:r>
      <w:bookmarkEnd w:id="123"/>
    </w:p>
    <w:p>
      <w:pPr>
        <w:pStyle w:val="31"/>
      </w:pPr>
    </w:p>
    <w:p>
      <w:pPr>
        <w:bidi w:val="0"/>
        <w:ind w:left="0" w:leftChars="0" w:firstLine="0" w:firstLineChars="0"/>
        <w:jc w:val="left"/>
        <w:rPr>
          <w:rFonts w:hint="eastAsia" w:eastAsia="宋体"/>
          <w:lang w:eastAsia="zh-CN"/>
        </w:rPr>
        <w:sectPr>
          <w:pgSz w:w="11906" w:h="16838"/>
          <w:pgMar w:top="1304" w:right="1588" w:bottom="1304" w:left="1588" w:header="851" w:footer="992" w:gutter="0"/>
          <w:cols w:space="425" w:num="1"/>
          <w:docGrid w:type="lines" w:linePitch="312" w:charSpace="0"/>
        </w:sectPr>
      </w:pPr>
      <w:r>
        <w:rPr>
          <w:rFonts w:hint="eastAsia" w:eastAsia="宋体"/>
          <w:lang w:eastAsia="zh-CN"/>
        </w:rPr>
        <w:drawing>
          <wp:inline distT="0" distB="0" distL="114300" distR="114300">
            <wp:extent cx="5536565" cy="7894320"/>
            <wp:effectExtent l="0" t="0" r="6985" b="11430"/>
            <wp:docPr id="5" name="图片 5" descr="翔雄能源委托书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翔雄能源委托书_00"/>
                    <pic:cNvPicPr>
                      <a:picLocks noChangeAspect="1"/>
                    </pic:cNvPicPr>
                  </pic:nvPicPr>
                  <pic:blipFill>
                    <a:blip r:embed="rId57"/>
                    <a:stretch>
                      <a:fillRect/>
                    </a:stretch>
                  </pic:blipFill>
                  <pic:spPr>
                    <a:xfrm>
                      <a:off x="0" y="0"/>
                      <a:ext cx="5536565" cy="7894320"/>
                    </a:xfrm>
                    <a:prstGeom prst="rect">
                      <a:avLst/>
                    </a:prstGeom>
                  </pic:spPr>
                </pic:pic>
              </a:graphicData>
            </a:graphic>
          </wp:inline>
        </w:drawing>
      </w:r>
      <w:r>
        <w:rPr>
          <w:rFonts w:hint="eastAsia" w:eastAsia="宋体"/>
          <w:lang w:eastAsia="zh-CN"/>
        </w:rPr>
        <w:drawing>
          <wp:inline distT="0" distB="0" distL="114300" distR="114300">
            <wp:extent cx="5539740" cy="7564120"/>
            <wp:effectExtent l="0" t="0" r="3810" b="17780"/>
            <wp:docPr id="7" name="图片 7" descr="aa471b3b00c410ffeab39e186cd3d06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a471b3b00c410ffeab39e186cd3d063_"/>
                    <pic:cNvPicPr>
                      <a:picLocks noChangeAspect="1"/>
                    </pic:cNvPicPr>
                  </pic:nvPicPr>
                  <pic:blipFill>
                    <a:blip r:embed="rId58"/>
                    <a:stretch>
                      <a:fillRect/>
                    </a:stretch>
                  </pic:blipFill>
                  <pic:spPr>
                    <a:xfrm>
                      <a:off x="0" y="0"/>
                      <a:ext cx="5539740" cy="7564120"/>
                    </a:xfrm>
                    <a:prstGeom prst="rect">
                      <a:avLst/>
                    </a:prstGeom>
                  </pic:spPr>
                </pic:pic>
              </a:graphicData>
            </a:graphic>
          </wp:inline>
        </w:drawing>
      </w:r>
      <w:r>
        <w:rPr>
          <w:rFonts w:hint="eastAsia" w:eastAsia="宋体"/>
          <w:lang w:eastAsia="zh-CN"/>
        </w:rPr>
        <w:drawing>
          <wp:inline distT="0" distB="0" distL="114300" distR="114300">
            <wp:extent cx="7871460" cy="5575935"/>
            <wp:effectExtent l="0" t="0" r="5715" b="15240"/>
            <wp:docPr id="6" name="图片 6" descr="a3edec6e07a89929b261738561f2923d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3edec6e07a89929b261738561f2923d_"/>
                    <pic:cNvPicPr>
                      <a:picLocks noChangeAspect="1"/>
                    </pic:cNvPicPr>
                  </pic:nvPicPr>
                  <pic:blipFill>
                    <a:blip r:embed="rId59"/>
                    <a:stretch>
                      <a:fillRect/>
                    </a:stretch>
                  </pic:blipFill>
                  <pic:spPr>
                    <a:xfrm rot="16200000">
                      <a:off x="0" y="0"/>
                      <a:ext cx="7871460" cy="5575935"/>
                    </a:xfrm>
                    <a:prstGeom prst="rect">
                      <a:avLst/>
                    </a:prstGeom>
                  </pic:spPr>
                </pic:pic>
              </a:graphicData>
            </a:graphic>
          </wp:inline>
        </w:drawing>
      </w:r>
    </w:p>
    <w:p>
      <w:pPr>
        <w:pStyle w:val="14"/>
        <w:rPr>
          <w:color w:val="FF0000"/>
        </w:rPr>
      </w:pPr>
      <w:bookmarkStart w:id="124" w:name="_Toc26919"/>
      <w:r>
        <w:rPr>
          <w:rFonts w:hint="eastAsia"/>
          <w:color w:val="FF0000"/>
        </w:rPr>
        <w:t>附件9</w:t>
      </w:r>
      <w:r>
        <w:rPr>
          <w:color w:val="FF0000"/>
        </w:rPr>
        <w:t xml:space="preserve"> </w:t>
      </w:r>
      <w:r>
        <w:rPr>
          <w:rFonts w:hint="eastAsia"/>
          <w:color w:val="FF0000"/>
        </w:rPr>
        <w:t>高州市翔雄能源有限公司更名为高州市祥富投资有限公司的说明</w:t>
      </w:r>
      <w:bookmarkEnd w:id="124"/>
    </w:p>
    <w:p>
      <w:pPr>
        <w:pStyle w:val="31"/>
      </w:pPr>
    </w:p>
    <w:p>
      <w:pPr>
        <w:pStyle w:val="31"/>
        <w:spacing w:line="360" w:lineRule="auto"/>
        <w:ind w:right="240"/>
        <w:jc w:val="both"/>
        <w:rPr>
          <w:rFonts w:hint="eastAsia" w:eastAsia="宋体"/>
          <w:sz w:val="24"/>
          <w:szCs w:val="24"/>
          <w:lang w:eastAsia="zh-CN"/>
        </w:rPr>
      </w:pPr>
      <w:r>
        <w:rPr>
          <w:rFonts w:hint="eastAsia" w:eastAsia="宋体"/>
          <w:sz w:val="24"/>
          <w:szCs w:val="24"/>
          <w:lang w:eastAsia="zh-CN"/>
        </w:rPr>
        <w:drawing>
          <wp:inline distT="0" distB="0" distL="114300" distR="114300">
            <wp:extent cx="5539105" cy="5710555"/>
            <wp:effectExtent l="0" t="0" r="4445" b="4445"/>
            <wp:docPr id="15" name="图片 15" descr="2ccc2705cb5d164e40f72cd749b16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2ccc2705cb5d164e40f72cd749b16c9"/>
                    <pic:cNvPicPr>
                      <a:picLocks noChangeAspect="1"/>
                    </pic:cNvPicPr>
                  </pic:nvPicPr>
                  <pic:blipFill>
                    <a:blip r:embed="rId60"/>
                    <a:stretch>
                      <a:fillRect/>
                    </a:stretch>
                  </pic:blipFill>
                  <pic:spPr>
                    <a:xfrm>
                      <a:off x="0" y="0"/>
                      <a:ext cx="5539105" cy="5710555"/>
                    </a:xfrm>
                    <a:prstGeom prst="rect">
                      <a:avLst/>
                    </a:prstGeom>
                  </pic:spPr>
                </pic:pic>
              </a:graphicData>
            </a:graphic>
          </wp:inline>
        </w:drawing>
      </w:r>
    </w:p>
    <w:sectPr>
      <w:pgSz w:w="11906" w:h="16838"/>
      <w:pgMar w:top="1304" w:right="1588" w:bottom="1304" w:left="158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等线">
    <w:altName w:val="宋体"/>
    <w:panose1 w:val="02010600030101010101"/>
    <w:charset w:val="86"/>
    <w:family w:val="auto"/>
    <w:pitch w:val="default"/>
    <w:sig w:usb0="00000000" w:usb1="00000000" w:usb2="00000016" w:usb3="00000000" w:csb0="0004000F" w:csb1="00000000"/>
  </w:font>
  <w:font w:name="等线 Light">
    <w:altName w:val="宋体"/>
    <w:panose1 w:val="02010600030101010101"/>
    <w:charset w:val="86"/>
    <w:family w:val="auto"/>
    <w:pitch w:val="default"/>
    <w:sig w:usb0="00000000" w:usb1="00000000" w:usb2="00000016" w:usb3="00000000" w:csb0="0004000F" w:csb1="00000000"/>
  </w:font>
  <w:font w:name="Cambria Math">
    <w:panose1 w:val="02040503050406030204"/>
    <w:charset w:val="00"/>
    <w:family w:val="roman"/>
    <w:pitch w:val="default"/>
    <w:sig w:usb0="E00002FF" w:usb1="420024FF" w:usb2="00000000" w:usb3="00000000" w:csb0="2000019F" w:csb1="00000000"/>
  </w:font>
  <w:font w:name="Wingdings 2">
    <w:panose1 w:val="05020102010507070707"/>
    <w:charset w:val="02"/>
    <w:family w:val="roman"/>
    <w:pitch w:val="default"/>
    <w:sig w:usb0="00000000" w:usb1="00000000" w:usb2="00000000" w:usb3="00000000" w:csb0="80000000" w:csb1="00000000"/>
  </w:font>
  <w:font w:name="Wingdings">
    <w:panose1 w:val="05000000000000000000"/>
    <w:charset w:val="00"/>
    <w:family w:val="auto"/>
    <w:pitch w:val="default"/>
    <w:sig w:usb0="00000000" w:usb1="00000000" w:usb2="00000000" w:usb3="00000000" w:csb0="80000000" w:csb1="00000000"/>
  </w:font>
  <w:font w:name="Kingsoft U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等线">
    <w:altName w:val="宋体"/>
    <w:panose1 w:val="00000000000000000000"/>
    <w:charset w:val="86"/>
    <w:family w:val="auto"/>
    <w:pitch w:val="default"/>
    <w:sig w:usb0="00000000" w:usb1="00000000" w:usb2="00000000" w:usb3="00000000" w:csb0="00000000" w:csb1="00000000"/>
  </w:font>
  <w:font w:name="等线">
    <w:altName w:val="Segoe Print"/>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1793720"/>
      <w:docPartObj>
        <w:docPartGallery w:val="autotext"/>
      </w:docPartObj>
    </w:sdtPr>
    <w:sdtContent>
      <w:p>
        <w:pPr>
          <w:pStyle w:val="11"/>
          <w:ind w:firstLine="360"/>
          <w:jc w:val="center"/>
        </w:pPr>
        <w:r>
          <w:fldChar w:fldCharType="begin"/>
        </w:r>
        <w:r>
          <w:instrText xml:space="preserve">PAGE   \* MERGEFORMAT</w:instrText>
        </w:r>
        <w:r>
          <w:fldChar w:fldCharType="separate"/>
        </w:r>
        <w:r>
          <w:rPr>
            <w:lang w:val="zh-CN"/>
          </w:rPr>
          <w:t>i</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14168328"/>
      <w:docPartObj>
        <w:docPartGallery w:val="autotext"/>
      </w:docPartObj>
    </w:sdtPr>
    <w:sdtContent>
      <w:p>
        <w:pPr>
          <w:pStyle w:val="11"/>
          <w:ind w:firstLine="360"/>
          <w:jc w:val="center"/>
        </w:pPr>
        <w:r>
          <w:fldChar w:fldCharType="begin"/>
        </w:r>
        <w:r>
          <w:instrText xml:space="preserve">PAGE   \* MERGEFORMAT</w:instrText>
        </w:r>
        <w:r>
          <w:fldChar w:fldCharType="separate"/>
        </w:r>
        <w:r>
          <w:rPr>
            <w:lang w:val="zh-CN"/>
          </w:rPr>
          <w:t>2</w:t>
        </w:r>
        <w:r>
          <w:fldChar w:fldCharType="end"/>
        </w:r>
      </w:p>
    </w:sdtContent>
  </w:sdt>
  <w:p>
    <w:pPr>
      <w:pStyle w:val="11"/>
      <w:ind w:firstLine="360"/>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7F349A9"/>
    <w:multiLevelType w:val="multilevel"/>
    <w:tmpl w:val="27F349A9"/>
    <w:lvl w:ilvl="0" w:tentative="0">
      <w:start w:val="1"/>
      <w:numFmt w:val="decimal"/>
      <w:lvlText w:val="（%1）"/>
      <w:lvlJc w:val="left"/>
      <w:pPr>
        <w:ind w:left="1140" w:hanging="720"/>
      </w:pPr>
      <w:rPr>
        <w:rFonts w:hint="default"/>
      </w:rPr>
    </w:lvl>
    <w:lvl w:ilvl="1" w:tentative="0">
      <w:start w:val="2"/>
      <w:numFmt w:val="decimalEnclosedCircle"/>
      <w:lvlText w:val="%2"/>
      <w:lvlJc w:val="left"/>
      <w:pPr>
        <w:ind w:left="1220" w:hanging="360"/>
      </w:pPr>
      <w:rPr>
        <w:rFonts w:hint="default"/>
      </w:r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1">
    <w:nsid w:val="3F1E1E17"/>
    <w:multiLevelType w:val="multilevel"/>
    <w:tmpl w:val="3F1E1E17"/>
    <w:lvl w:ilvl="0" w:tentative="0">
      <w:start w:val="1"/>
      <w:numFmt w:val="decimal"/>
      <w:pStyle w:val="2"/>
      <w:suff w:val="space"/>
      <w:lvlText w:val="%1"/>
      <w:lvlJc w:val="left"/>
      <w:pPr>
        <w:ind w:left="57" w:hanging="57"/>
      </w:pPr>
      <w:rPr>
        <w:rFonts w:hint="eastAsia"/>
      </w:rPr>
    </w:lvl>
    <w:lvl w:ilvl="1" w:tentative="0">
      <w:start w:val="1"/>
      <w:numFmt w:val="decimal"/>
      <w:pStyle w:val="3"/>
      <w:suff w:val="space"/>
      <w:lvlText w:val="%1.%2"/>
      <w:lvlJc w:val="left"/>
      <w:pPr>
        <w:ind w:left="113" w:hanging="113"/>
      </w:pPr>
      <w:rPr>
        <w:rFonts w:hint="eastAsia"/>
      </w:rPr>
    </w:lvl>
    <w:lvl w:ilvl="2" w:tentative="0">
      <w:start w:val="1"/>
      <w:numFmt w:val="decimal"/>
      <w:pStyle w:val="4"/>
      <w:suff w:val="space"/>
      <w:lvlText w:val="%1.%2.%3"/>
      <w:lvlJc w:val="left"/>
      <w:pPr>
        <w:ind w:left="170" w:hanging="170"/>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
    <w:nsid w:val="4BC46E35"/>
    <w:multiLevelType w:val="multilevel"/>
    <w:tmpl w:val="4BC46E35"/>
    <w:lvl w:ilvl="0" w:tentative="0">
      <w:start w:val="1"/>
      <w:numFmt w:val="japaneseCounting"/>
      <w:lvlText w:val="（%1）"/>
      <w:lvlJc w:val="left"/>
      <w:pPr>
        <w:ind w:left="735" w:hanging="73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bordersDoNotSurroundHeader w:val="1"/>
  <w:bordersDoNotSurroundFooter w:val="1"/>
  <w:documentProtection w:enforcement="0"/>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26C5"/>
    <w:rsid w:val="00000174"/>
    <w:rsid w:val="000010EB"/>
    <w:rsid w:val="00001663"/>
    <w:rsid w:val="0000772B"/>
    <w:rsid w:val="000115E9"/>
    <w:rsid w:val="000115F9"/>
    <w:rsid w:val="00014A23"/>
    <w:rsid w:val="000157CF"/>
    <w:rsid w:val="00020D57"/>
    <w:rsid w:val="00022CF1"/>
    <w:rsid w:val="00023D31"/>
    <w:rsid w:val="00025E23"/>
    <w:rsid w:val="00032A92"/>
    <w:rsid w:val="00032B80"/>
    <w:rsid w:val="00032BBA"/>
    <w:rsid w:val="000341BC"/>
    <w:rsid w:val="00035549"/>
    <w:rsid w:val="0004314D"/>
    <w:rsid w:val="00045C45"/>
    <w:rsid w:val="00046A92"/>
    <w:rsid w:val="0005112F"/>
    <w:rsid w:val="000518D5"/>
    <w:rsid w:val="00054BB2"/>
    <w:rsid w:val="000604E3"/>
    <w:rsid w:val="00060F4A"/>
    <w:rsid w:val="00061377"/>
    <w:rsid w:val="00063033"/>
    <w:rsid w:val="00064E13"/>
    <w:rsid w:val="00065372"/>
    <w:rsid w:val="00067F56"/>
    <w:rsid w:val="00073E5C"/>
    <w:rsid w:val="0007415A"/>
    <w:rsid w:val="00074311"/>
    <w:rsid w:val="00074C8F"/>
    <w:rsid w:val="000755CA"/>
    <w:rsid w:val="00076277"/>
    <w:rsid w:val="00082F96"/>
    <w:rsid w:val="000839BD"/>
    <w:rsid w:val="000856D9"/>
    <w:rsid w:val="000859B7"/>
    <w:rsid w:val="00085DCC"/>
    <w:rsid w:val="0008748D"/>
    <w:rsid w:val="0009072B"/>
    <w:rsid w:val="00091241"/>
    <w:rsid w:val="00092C9A"/>
    <w:rsid w:val="00092D52"/>
    <w:rsid w:val="000939CD"/>
    <w:rsid w:val="00097B1E"/>
    <w:rsid w:val="000A3A13"/>
    <w:rsid w:val="000A3EAE"/>
    <w:rsid w:val="000A6B70"/>
    <w:rsid w:val="000A7ADA"/>
    <w:rsid w:val="000B08A4"/>
    <w:rsid w:val="000B16DD"/>
    <w:rsid w:val="000B6882"/>
    <w:rsid w:val="000C3DEA"/>
    <w:rsid w:val="000C3DF5"/>
    <w:rsid w:val="000C4F65"/>
    <w:rsid w:val="000C543C"/>
    <w:rsid w:val="000D599D"/>
    <w:rsid w:val="000D6CE5"/>
    <w:rsid w:val="000D7931"/>
    <w:rsid w:val="000E3C58"/>
    <w:rsid w:val="000E45E3"/>
    <w:rsid w:val="000E5606"/>
    <w:rsid w:val="000E5D67"/>
    <w:rsid w:val="000E66E9"/>
    <w:rsid w:val="000E7CBF"/>
    <w:rsid w:val="000E7DEB"/>
    <w:rsid w:val="000F07C0"/>
    <w:rsid w:val="000F1684"/>
    <w:rsid w:val="000F2121"/>
    <w:rsid w:val="000F4712"/>
    <w:rsid w:val="000F51AD"/>
    <w:rsid w:val="000F6B27"/>
    <w:rsid w:val="000F773D"/>
    <w:rsid w:val="0010161C"/>
    <w:rsid w:val="00104F89"/>
    <w:rsid w:val="00105E33"/>
    <w:rsid w:val="0012691E"/>
    <w:rsid w:val="00130321"/>
    <w:rsid w:val="00133226"/>
    <w:rsid w:val="00135B6D"/>
    <w:rsid w:val="0013762F"/>
    <w:rsid w:val="00143A3D"/>
    <w:rsid w:val="00144115"/>
    <w:rsid w:val="00146121"/>
    <w:rsid w:val="00146B8A"/>
    <w:rsid w:val="00151F14"/>
    <w:rsid w:val="001523DB"/>
    <w:rsid w:val="00153EED"/>
    <w:rsid w:val="00154591"/>
    <w:rsid w:val="00157347"/>
    <w:rsid w:val="001574E1"/>
    <w:rsid w:val="00157FE8"/>
    <w:rsid w:val="00161252"/>
    <w:rsid w:val="00165D65"/>
    <w:rsid w:val="001671D3"/>
    <w:rsid w:val="0016779F"/>
    <w:rsid w:val="00176A9F"/>
    <w:rsid w:val="00177367"/>
    <w:rsid w:val="001774A0"/>
    <w:rsid w:val="001863E6"/>
    <w:rsid w:val="00187EBB"/>
    <w:rsid w:val="0019484F"/>
    <w:rsid w:val="00195717"/>
    <w:rsid w:val="001965B4"/>
    <w:rsid w:val="001A0C2D"/>
    <w:rsid w:val="001A463A"/>
    <w:rsid w:val="001A51B8"/>
    <w:rsid w:val="001A7E3B"/>
    <w:rsid w:val="001B18E7"/>
    <w:rsid w:val="001B62F6"/>
    <w:rsid w:val="001B779C"/>
    <w:rsid w:val="001C1273"/>
    <w:rsid w:val="001C4F9A"/>
    <w:rsid w:val="001D0D5B"/>
    <w:rsid w:val="001D472C"/>
    <w:rsid w:val="001D4CE2"/>
    <w:rsid w:val="001D5E7E"/>
    <w:rsid w:val="001D68B8"/>
    <w:rsid w:val="001E1D5C"/>
    <w:rsid w:val="001E25DD"/>
    <w:rsid w:val="001E27FD"/>
    <w:rsid w:val="001E4449"/>
    <w:rsid w:val="001E6AAD"/>
    <w:rsid w:val="001F232A"/>
    <w:rsid w:val="001F7F3E"/>
    <w:rsid w:val="00200541"/>
    <w:rsid w:val="00201F37"/>
    <w:rsid w:val="00202D10"/>
    <w:rsid w:val="00203795"/>
    <w:rsid w:val="00203C82"/>
    <w:rsid w:val="0021070F"/>
    <w:rsid w:val="002137CB"/>
    <w:rsid w:val="00213FD8"/>
    <w:rsid w:val="00215BCC"/>
    <w:rsid w:val="00221D7D"/>
    <w:rsid w:val="002231DB"/>
    <w:rsid w:val="0022442C"/>
    <w:rsid w:val="002246BF"/>
    <w:rsid w:val="0022667A"/>
    <w:rsid w:val="00226753"/>
    <w:rsid w:val="00226A1B"/>
    <w:rsid w:val="002274DA"/>
    <w:rsid w:val="00227D2D"/>
    <w:rsid w:val="00230D70"/>
    <w:rsid w:val="002327CB"/>
    <w:rsid w:val="0023408F"/>
    <w:rsid w:val="00235B71"/>
    <w:rsid w:val="0024136C"/>
    <w:rsid w:val="002418CC"/>
    <w:rsid w:val="0024509D"/>
    <w:rsid w:val="00247091"/>
    <w:rsid w:val="002475C5"/>
    <w:rsid w:val="00247ED9"/>
    <w:rsid w:val="00251D25"/>
    <w:rsid w:val="00252EB2"/>
    <w:rsid w:val="00257829"/>
    <w:rsid w:val="002624F3"/>
    <w:rsid w:val="002626F5"/>
    <w:rsid w:val="002639E9"/>
    <w:rsid w:val="00263B83"/>
    <w:rsid w:val="002644BC"/>
    <w:rsid w:val="00264725"/>
    <w:rsid w:val="00264898"/>
    <w:rsid w:val="002662A6"/>
    <w:rsid w:val="00267724"/>
    <w:rsid w:val="0027021D"/>
    <w:rsid w:val="00270441"/>
    <w:rsid w:val="002704ED"/>
    <w:rsid w:val="002730EB"/>
    <w:rsid w:val="00274731"/>
    <w:rsid w:val="0027542E"/>
    <w:rsid w:val="00277E3C"/>
    <w:rsid w:val="00280BB8"/>
    <w:rsid w:val="00285B22"/>
    <w:rsid w:val="00287FEF"/>
    <w:rsid w:val="00292B20"/>
    <w:rsid w:val="002937BB"/>
    <w:rsid w:val="00294F97"/>
    <w:rsid w:val="002969B9"/>
    <w:rsid w:val="002A059D"/>
    <w:rsid w:val="002A19CC"/>
    <w:rsid w:val="002A2305"/>
    <w:rsid w:val="002A7560"/>
    <w:rsid w:val="002B0D73"/>
    <w:rsid w:val="002B1573"/>
    <w:rsid w:val="002B42BA"/>
    <w:rsid w:val="002B4518"/>
    <w:rsid w:val="002C222B"/>
    <w:rsid w:val="002C6A62"/>
    <w:rsid w:val="002D1226"/>
    <w:rsid w:val="002D30D8"/>
    <w:rsid w:val="002D4C8E"/>
    <w:rsid w:val="002D4D09"/>
    <w:rsid w:val="002D6F2F"/>
    <w:rsid w:val="002E0ACF"/>
    <w:rsid w:val="002E6ED5"/>
    <w:rsid w:val="002E7298"/>
    <w:rsid w:val="002F03C7"/>
    <w:rsid w:val="002F1345"/>
    <w:rsid w:val="002F2EC2"/>
    <w:rsid w:val="003004AC"/>
    <w:rsid w:val="00302363"/>
    <w:rsid w:val="003053B4"/>
    <w:rsid w:val="003054C2"/>
    <w:rsid w:val="00306B40"/>
    <w:rsid w:val="0031344E"/>
    <w:rsid w:val="0031469C"/>
    <w:rsid w:val="00316351"/>
    <w:rsid w:val="00316D32"/>
    <w:rsid w:val="00320EF2"/>
    <w:rsid w:val="00323D8B"/>
    <w:rsid w:val="003275CF"/>
    <w:rsid w:val="003277D2"/>
    <w:rsid w:val="0033193F"/>
    <w:rsid w:val="00331D6D"/>
    <w:rsid w:val="003376E9"/>
    <w:rsid w:val="00337C04"/>
    <w:rsid w:val="00340D57"/>
    <w:rsid w:val="00341259"/>
    <w:rsid w:val="00342990"/>
    <w:rsid w:val="003449BB"/>
    <w:rsid w:val="003522B0"/>
    <w:rsid w:val="0035238E"/>
    <w:rsid w:val="00353CCA"/>
    <w:rsid w:val="00353DE8"/>
    <w:rsid w:val="003573CD"/>
    <w:rsid w:val="003601C6"/>
    <w:rsid w:val="00360387"/>
    <w:rsid w:val="00360AF0"/>
    <w:rsid w:val="00361243"/>
    <w:rsid w:val="00364136"/>
    <w:rsid w:val="00364F6D"/>
    <w:rsid w:val="00367184"/>
    <w:rsid w:val="0037136C"/>
    <w:rsid w:val="003759A9"/>
    <w:rsid w:val="00376424"/>
    <w:rsid w:val="00377BC3"/>
    <w:rsid w:val="003824D9"/>
    <w:rsid w:val="0038368A"/>
    <w:rsid w:val="00393912"/>
    <w:rsid w:val="0039653C"/>
    <w:rsid w:val="003A3109"/>
    <w:rsid w:val="003A4229"/>
    <w:rsid w:val="003A61A7"/>
    <w:rsid w:val="003A7A26"/>
    <w:rsid w:val="003B0526"/>
    <w:rsid w:val="003B08AF"/>
    <w:rsid w:val="003B176E"/>
    <w:rsid w:val="003B3065"/>
    <w:rsid w:val="003B559C"/>
    <w:rsid w:val="003B6C69"/>
    <w:rsid w:val="003B7316"/>
    <w:rsid w:val="003C1329"/>
    <w:rsid w:val="003C6D72"/>
    <w:rsid w:val="003C6FBC"/>
    <w:rsid w:val="003D16D6"/>
    <w:rsid w:val="003E49CF"/>
    <w:rsid w:val="003E5257"/>
    <w:rsid w:val="003E7A40"/>
    <w:rsid w:val="003F0A82"/>
    <w:rsid w:val="003F1153"/>
    <w:rsid w:val="00400043"/>
    <w:rsid w:val="004019F6"/>
    <w:rsid w:val="00403C5B"/>
    <w:rsid w:val="0040525D"/>
    <w:rsid w:val="00407096"/>
    <w:rsid w:val="00410873"/>
    <w:rsid w:val="004176DC"/>
    <w:rsid w:val="00420225"/>
    <w:rsid w:val="00421AA5"/>
    <w:rsid w:val="00421DC1"/>
    <w:rsid w:val="00423D4A"/>
    <w:rsid w:val="004316B6"/>
    <w:rsid w:val="00431BAE"/>
    <w:rsid w:val="0043231B"/>
    <w:rsid w:val="0043385B"/>
    <w:rsid w:val="00433C08"/>
    <w:rsid w:val="00442AF0"/>
    <w:rsid w:val="00443ACD"/>
    <w:rsid w:val="00443D8A"/>
    <w:rsid w:val="00443E7A"/>
    <w:rsid w:val="004460C3"/>
    <w:rsid w:val="00446E36"/>
    <w:rsid w:val="0044764A"/>
    <w:rsid w:val="0045041C"/>
    <w:rsid w:val="004512EA"/>
    <w:rsid w:val="004516E5"/>
    <w:rsid w:val="00457E6F"/>
    <w:rsid w:val="00463E82"/>
    <w:rsid w:val="00471552"/>
    <w:rsid w:val="00472B5D"/>
    <w:rsid w:val="00475142"/>
    <w:rsid w:val="004800A7"/>
    <w:rsid w:val="004853ED"/>
    <w:rsid w:val="00490661"/>
    <w:rsid w:val="00491E3B"/>
    <w:rsid w:val="004926B2"/>
    <w:rsid w:val="004A00DA"/>
    <w:rsid w:val="004A5C89"/>
    <w:rsid w:val="004A6AE9"/>
    <w:rsid w:val="004A6DC4"/>
    <w:rsid w:val="004A78D5"/>
    <w:rsid w:val="004C1C52"/>
    <w:rsid w:val="004C21EA"/>
    <w:rsid w:val="004C2C4A"/>
    <w:rsid w:val="004C6E87"/>
    <w:rsid w:val="004D0606"/>
    <w:rsid w:val="004D210B"/>
    <w:rsid w:val="004D2784"/>
    <w:rsid w:val="004D4984"/>
    <w:rsid w:val="004E329B"/>
    <w:rsid w:val="004E4AD1"/>
    <w:rsid w:val="004E4C8C"/>
    <w:rsid w:val="004E691A"/>
    <w:rsid w:val="004E7E63"/>
    <w:rsid w:val="004F25B2"/>
    <w:rsid w:val="004F335C"/>
    <w:rsid w:val="005007C6"/>
    <w:rsid w:val="00501A32"/>
    <w:rsid w:val="00502241"/>
    <w:rsid w:val="00503014"/>
    <w:rsid w:val="00503E38"/>
    <w:rsid w:val="00510860"/>
    <w:rsid w:val="00510908"/>
    <w:rsid w:val="005136B8"/>
    <w:rsid w:val="00514297"/>
    <w:rsid w:val="00514A00"/>
    <w:rsid w:val="00515698"/>
    <w:rsid w:val="00517C2A"/>
    <w:rsid w:val="00522340"/>
    <w:rsid w:val="00522525"/>
    <w:rsid w:val="00522636"/>
    <w:rsid w:val="00523DF8"/>
    <w:rsid w:val="00524C17"/>
    <w:rsid w:val="00527CFC"/>
    <w:rsid w:val="005301B1"/>
    <w:rsid w:val="0053339F"/>
    <w:rsid w:val="0053479E"/>
    <w:rsid w:val="00536D07"/>
    <w:rsid w:val="005429E6"/>
    <w:rsid w:val="005435D8"/>
    <w:rsid w:val="0054561F"/>
    <w:rsid w:val="00547BA9"/>
    <w:rsid w:val="00552660"/>
    <w:rsid w:val="00554E9B"/>
    <w:rsid w:val="005576AC"/>
    <w:rsid w:val="00560F00"/>
    <w:rsid w:val="005653F7"/>
    <w:rsid w:val="00567010"/>
    <w:rsid w:val="0056734E"/>
    <w:rsid w:val="00574427"/>
    <w:rsid w:val="0058242E"/>
    <w:rsid w:val="0059032C"/>
    <w:rsid w:val="00591F8D"/>
    <w:rsid w:val="005A055E"/>
    <w:rsid w:val="005A1170"/>
    <w:rsid w:val="005A15D5"/>
    <w:rsid w:val="005A6399"/>
    <w:rsid w:val="005A7763"/>
    <w:rsid w:val="005A7DBD"/>
    <w:rsid w:val="005B0258"/>
    <w:rsid w:val="005B0690"/>
    <w:rsid w:val="005B186F"/>
    <w:rsid w:val="005B2B9B"/>
    <w:rsid w:val="005B3FBB"/>
    <w:rsid w:val="005B6FF4"/>
    <w:rsid w:val="005C4F0A"/>
    <w:rsid w:val="005C71A3"/>
    <w:rsid w:val="005D370D"/>
    <w:rsid w:val="005D3B51"/>
    <w:rsid w:val="005D4BF4"/>
    <w:rsid w:val="005D675A"/>
    <w:rsid w:val="005D6E21"/>
    <w:rsid w:val="005E01B2"/>
    <w:rsid w:val="005E1B6C"/>
    <w:rsid w:val="005E5A17"/>
    <w:rsid w:val="005E6C6B"/>
    <w:rsid w:val="005F12C4"/>
    <w:rsid w:val="005F2BC9"/>
    <w:rsid w:val="005F41CC"/>
    <w:rsid w:val="005F426F"/>
    <w:rsid w:val="005F572F"/>
    <w:rsid w:val="0060148E"/>
    <w:rsid w:val="00602CED"/>
    <w:rsid w:val="00603A6D"/>
    <w:rsid w:val="00605562"/>
    <w:rsid w:val="00606171"/>
    <w:rsid w:val="00607FBE"/>
    <w:rsid w:val="00613E39"/>
    <w:rsid w:val="00614DDC"/>
    <w:rsid w:val="00615497"/>
    <w:rsid w:val="00615F41"/>
    <w:rsid w:val="00615F4E"/>
    <w:rsid w:val="00616289"/>
    <w:rsid w:val="00627FB4"/>
    <w:rsid w:val="00630344"/>
    <w:rsid w:val="00630C12"/>
    <w:rsid w:val="0063564C"/>
    <w:rsid w:val="00641493"/>
    <w:rsid w:val="006477D3"/>
    <w:rsid w:val="00651DF2"/>
    <w:rsid w:val="00652892"/>
    <w:rsid w:val="006534CE"/>
    <w:rsid w:val="00654933"/>
    <w:rsid w:val="00655318"/>
    <w:rsid w:val="0065604A"/>
    <w:rsid w:val="00657C1C"/>
    <w:rsid w:val="00662632"/>
    <w:rsid w:val="00662E0E"/>
    <w:rsid w:val="006670A7"/>
    <w:rsid w:val="00671598"/>
    <w:rsid w:val="0067414E"/>
    <w:rsid w:val="00675136"/>
    <w:rsid w:val="00675C69"/>
    <w:rsid w:val="00681519"/>
    <w:rsid w:val="006865CA"/>
    <w:rsid w:val="00692236"/>
    <w:rsid w:val="00692357"/>
    <w:rsid w:val="0069479C"/>
    <w:rsid w:val="0069523D"/>
    <w:rsid w:val="00695C31"/>
    <w:rsid w:val="006A0559"/>
    <w:rsid w:val="006A0DC4"/>
    <w:rsid w:val="006A2813"/>
    <w:rsid w:val="006A3BE9"/>
    <w:rsid w:val="006B3AC9"/>
    <w:rsid w:val="006B3F65"/>
    <w:rsid w:val="006B4C5C"/>
    <w:rsid w:val="006C0C50"/>
    <w:rsid w:val="006D1A53"/>
    <w:rsid w:val="006D2C39"/>
    <w:rsid w:val="006D4DB7"/>
    <w:rsid w:val="006D6DFF"/>
    <w:rsid w:val="006D7689"/>
    <w:rsid w:val="006E0504"/>
    <w:rsid w:val="006E0976"/>
    <w:rsid w:val="006E42B2"/>
    <w:rsid w:val="006E42BF"/>
    <w:rsid w:val="006E454C"/>
    <w:rsid w:val="006E4FD9"/>
    <w:rsid w:val="006E5F8B"/>
    <w:rsid w:val="006E76BE"/>
    <w:rsid w:val="006F54CC"/>
    <w:rsid w:val="00700F78"/>
    <w:rsid w:val="00704E59"/>
    <w:rsid w:val="00705730"/>
    <w:rsid w:val="00711C24"/>
    <w:rsid w:val="0071329D"/>
    <w:rsid w:val="00713BE6"/>
    <w:rsid w:val="007147DD"/>
    <w:rsid w:val="007160D8"/>
    <w:rsid w:val="007179EA"/>
    <w:rsid w:val="00721200"/>
    <w:rsid w:val="00723C89"/>
    <w:rsid w:val="007259C2"/>
    <w:rsid w:val="007269C3"/>
    <w:rsid w:val="00731BAE"/>
    <w:rsid w:val="00735E4A"/>
    <w:rsid w:val="007417F3"/>
    <w:rsid w:val="00746BC1"/>
    <w:rsid w:val="00751BC1"/>
    <w:rsid w:val="00754F97"/>
    <w:rsid w:val="00755E08"/>
    <w:rsid w:val="00756EB3"/>
    <w:rsid w:val="007623E6"/>
    <w:rsid w:val="00762740"/>
    <w:rsid w:val="0076282B"/>
    <w:rsid w:val="00763369"/>
    <w:rsid w:val="007648CF"/>
    <w:rsid w:val="007659CC"/>
    <w:rsid w:val="00771DD2"/>
    <w:rsid w:val="00776CB1"/>
    <w:rsid w:val="00777FCE"/>
    <w:rsid w:val="0078043C"/>
    <w:rsid w:val="00782302"/>
    <w:rsid w:val="007832A3"/>
    <w:rsid w:val="0078772E"/>
    <w:rsid w:val="00792A03"/>
    <w:rsid w:val="007933C5"/>
    <w:rsid w:val="0079451D"/>
    <w:rsid w:val="00796019"/>
    <w:rsid w:val="007A66C0"/>
    <w:rsid w:val="007A721C"/>
    <w:rsid w:val="007A7610"/>
    <w:rsid w:val="007A7ABB"/>
    <w:rsid w:val="007B0793"/>
    <w:rsid w:val="007B3DB2"/>
    <w:rsid w:val="007B4856"/>
    <w:rsid w:val="007B6594"/>
    <w:rsid w:val="007C106D"/>
    <w:rsid w:val="007C22C0"/>
    <w:rsid w:val="007C4E70"/>
    <w:rsid w:val="007D022F"/>
    <w:rsid w:val="007D12BA"/>
    <w:rsid w:val="007D1B16"/>
    <w:rsid w:val="007D1DE4"/>
    <w:rsid w:val="007D61F1"/>
    <w:rsid w:val="007E220E"/>
    <w:rsid w:val="007E27D0"/>
    <w:rsid w:val="007E2C6D"/>
    <w:rsid w:val="007E402A"/>
    <w:rsid w:val="007E4877"/>
    <w:rsid w:val="007E5754"/>
    <w:rsid w:val="007E7045"/>
    <w:rsid w:val="007F4657"/>
    <w:rsid w:val="007F46B8"/>
    <w:rsid w:val="007F5369"/>
    <w:rsid w:val="007F5DEA"/>
    <w:rsid w:val="007F6AA1"/>
    <w:rsid w:val="007F79F0"/>
    <w:rsid w:val="00803498"/>
    <w:rsid w:val="00805137"/>
    <w:rsid w:val="00807E04"/>
    <w:rsid w:val="0081457C"/>
    <w:rsid w:val="00814B8A"/>
    <w:rsid w:val="00815CA1"/>
    <w:rsid w:val="00816396"/>
    <w:rsid w:val="0081709C"/>
    <w:rsid w:val="00823008"/>
    <w:rsid w:val="00824B29"/>
    <w:rsid w:val="0083158F"/>
    <w:rsid w:val="00833138"/>
    <w:rsid w:val="00833975"/>
    <w:rsid w:val="00841C7A"/>
    <w:rsid w:val="0084274E"/>
    <w:rsid w:val="008456BB"/>
    <w:rsid w:val="00853DA3"/>
    <w:rsid w:val="00857479"/>
    <w:rsid w:val="00860BBC"/>
    <w:rsid w:val="00861561"/>
    <w:rsid w:val="008627A7"/>
    <w:rsid w:val="008648E9"/>
    <w:rsid w:val="00867A52"/>
    <w:rsid w:val="00872C5B"/>
    <w:rsid w:val="008751E5"/>
    <w:rsid w:val="00876651"/>
    <w:rsid w:val="00884A21"/>
    <w:rsid w:val="00890346"/>
    <w:rsid w:val="0089186A"/>
    <w:rsid w:val="00893B16"/>
    <w:rsid w:val="008946CF"/>
    <w:rsid w:val="00896BA1"/>
    <w:rsid w:val="00896D36"/>
    <w:rsid w:val="008A03B4"/>
    <w:rsid w:val="008A709C"/>
    <w:rsid w:val="008B12EB"/>
    <w:rsid w:val="008B4F0E"/>
    <w:rsid w:val="008B622E"/>
    <w:rsid w:val="008B75F8"/>
    <w:rsid w:val="008C14FA"/>
    <w:rsid w:val="008C278F"/>
    <w:rsid w:val="008C5B95"/>
    <w:rsid w:val="008C6706"/>
    <w:rsid w:val="008D00AC"/>
    <w:rsid w:val="008D0E0F"/>
    <w:rsid w:val="008D2EC5"/>
    <w:rsid w:val="008D47C2"/>
    <w:rsid w:val="008D5755"/>
    <w:rsid w:val="008D608A"/>
    <w:rsid w:val="008D6135"/>
    <w:rsid w:val="008D7483"/>
    <w:rsid w:val="008D7BBE"/>
    <w:rsid w:val="008E0B8F"/>
    <w:rsid w:val="008E2B3D"/>
    <w:rsid w:val="008E5932"/>
    <w:rsid w:val="008E708F"/>
    <w:rsid w:val="008F0A34"/>
    <w:rsid w:val="008F0BCE"/>
    <w:rsid w:val="00901EBD"/>
    <w:rsid w:val="009024B4"/>
    <w:rsid w:val="0090352A"/>
    <w:rsid w:val="009059F1"/>
    <w:rsid w:val="00913577"/>
    <w:rsid w:val="00917311"/>
    <w:rsid w:val="0092041D"/>
    <w:rsid w:val="00921F9C"/>
    <w:rsid w:val="009249CF"/>
    <w:rsid w:val="00924D7E"/>
    <w:rsid w:val="0092543B"/>
    <w:rsid w:val="00927F3F"/>
    <w:rsid w:val="009326B0"/>
    <w:rsid w:val="00932FAC"/>
    <w:rsid w:val="00936D4E"/>
    <w:rsid w:val="00937E95"/>
    <w:rsid w:val="009415ED"/>
    <w:rsid w:val="0094205B"/>
    <w:rsid w:val="00942131"/>
    <w:rsid w:val="00942A62"/>
    <w:rsid w:val="0094422E"/>
    <w:rsid w:val="00951D35"/>
    <w:rsid w:val="00952936"/>
    <w:rsid w:val="00952C3F"/>
    <w:rsid w:val="0095378E"/>
    <w:rsid w:val="00953856"/>
    <w:rsid w:val="009568F0"/>
    <w:rsid w:val="00961D7D"/>
    <w:rsid w:val="009620A9"/>
    <w:rsid w:val="00962A69"/>
    <w:rsid w:val="00965F60"/>
    <w:rsid w:val="00966220"/>
    <w:rsid w:val="00967936"/>
    <w:rsid w:val="009709A2"/>
    <w:rsid w:val="009709FA"/>
    <w:rsid w:val="0097128A"/>
    <w:rsid w:val="00973733"/>
    <w:rsid w:val="0097451C"/>
    <w:rsid w:val="0097498D"/>
    <w:rsid w:val="00976B69"/>
    <w:rsid w:val="00980563"/>
    <w:rsid w:val="00981D43"/>
    <w:rsid w:val="009844A1"/>
    <w:rsid w:val="009863EF"/>
    <w:rsid w:val="00987787"/>
    <w:rsid w:val="00990CA9"/>
    <w:rsid w:val="0099164A"/>
    <w:rsid w:val="00992BCD"/>
    <w:rsid w:val="009933B3"/>
    <w:rsid w:val="00993BA2"/>
    <w:rsid w:val="00995A3B"/>
    <w:rsid w:val="00995E1F"/>
    <w:rsid w:val="00995E74"/>
    <w:rsid w:val="009A32E9"/>
    <w:rsid w:val="009A40FE"/>
    <w:rsid w:val="009A4252"/>
    <w:rsid w:val="009A4611"/>
    <w:rsid w:val="009B3949"/>
    <w:rsid w:val="009B7985"/>
    <w:rsid w:val="009B7B7A"/>
    <w:rsid w:val="009C17E4"/>
    <w:rsid w:val="009C227D"/>
    <w:rsid w:val="009C6E32"/>
    <w:rsid w:val="009C75E1"/>
    <w:rsid w:val="009C7CEA"/>
    <w:rsid w:val="009D24E0"/>
    <w:rsid w:val="009D251C"/>
    <w:rsid w:val="009D3044"/>
    <w:rsid w:val="009E6FAC"/>
    <w:rsid w:val="009F0831"/>
    <w:rsid w:val="009F3841"/>
    <w:rsid w:val="009F4383"/>
    <w:rsid w:val="009F4AA1"/>
    <w:rsid w:val="009F704A"/>
    <w:rsid w:val="00A00000"/>
    <w:rsid w:val="00A00358"/>
    <w:rsid w:val="00A04960"/>
    <w:rsid w:val="00A059C5"/>
    <w:rsid w:val="00A07F1F"/>
    <w:rsid w:val="00A1061A"/>
    <w:rsid w:val="00A1082E"/>
    <w:rsid w:val="00A11C28"/>
    <w:rsid w:val="00A122AE"/>
    <w:rsid w:val="00A14E89"/>
    <w:rsid w:val="00A25516"/>
    <w:rsid w:val="00A2651E"/>
    <w:rsid w:val="00A30A8C"/>
    <w:rsid w:val="00A359BD"/>
    <w:rsid w:val="00A35AD8"/>
    <w:rsid w:val="00A40A49"/>
    <w:rsid w:val="00A43F31"/>
    <w:rsid w:val="00A4512D"/>
    <w:rsid w:val="00A4667D"/>
    <w:rsid w:val="00A46E13"/>
    <w:rsid w:val="00A51273"/>
    <w:rsid w:val="00A52D3D"/>
    <w:rsid w:val="00A52EF4"/>
    <w:rsid w:val="00A53AFD"/>
    <w:rsid w:val="00A55534"/>
    <w:rsid w:val="00A6013B"/>
    <w:rsid w:val="00A64A4F"/>
    <w:rsid w:val="00A658BA"/>
    <w:rsid w:val="00A659FB"/>
    <w:rsid w:val="00A665D8"/>
    <w:rsid w:val="00A7000B"/>
    <w:rsid w:val="00A70AC6"/>
    <w:rsid w:val="00A7144A"/>
    <w:rsid w:val="00A75719"/>
    <w:rsid w:val="00A767B5"/>
    <w:rsid w:val="00A77675"/>
    <w:rsid w:val="00A8087E"/>
    <w:rsid w:val="00A84DC3"/>
    <w:rsid w:val="00A925BE"/>
    <w:rsid w:val="00A93D50"/>
    <w:rsid w:val="00A94869"/>
    <w:rsid w:val="00A96D6F"/>
    <w:rsid w:val="00AA16E2"/>
    <w:rsid w:val="00AA3289"/>
    <w:rsid w:val="00AA4D66"/>
    <w:rsid w:val="00AA6293"/>
    <w:rsid w:val="00AB03A2"/>
    <w:rsid w:val="00AB2D0C"/>
    <w:rsid w:val="00AB35A7"/>
    <w:rsid w:val="00AC09A1"/>
    <w:rsid w:val="00AC600E"/>
    <w:rsid w:val="00AD0BFF"/>
    <w:rsid w:val="00AD2CA1"/>
    <w:rsid w:val="00AD7A00"/>
    <w:rsid w:val="00AE6F13"/>
    <w:rsid w:val="00AF0F22"/>
    <w:rsid w:val="00AF0F7D"/>
    <w:rsid w:val="00AF24B5"/>
    <w:rsid w:val="00AF2C3D"/>
    <w:rsid w:val="00AF2C8B"/>
    <w:rsid w:val="00B021D2"/>
    <w:rsid w:val="00B03C3B"/>
    <w:rsid w:val="00B042C6"/>
    <w:rsid w:val="00B04FF6"/>
    <w:rsid w:val="00B069AD"/>
    <w:rsid w:val="00B072E2"/>
    <w:rsid w:val="00B1092E"/>
    <w:rsid w:val="00B15649"/>
    <w:rsid w:val="00B25F78"/>
    <w:rsid w:val="00B30304"/>
    <w:rsid w:val="00B321B2"/>
    <w:rsid w:val="00B405CE"/>
    <w:rsid w:val="00B479AC"/>
    <w:rsid w:val="00B47E44"/>
    <w:rsid w:val="00B535AD"/>
    <w:rsid w:val="00B62CB1"/>
    <w:rsid w:val="00B654EE"/>
    <w:rsid w:val="00B66F3E"/>
    <w:rsid w:val="00B709D2"/>
    <w:rsid w:val="00B70B7E"/>
    <w:rsid w:val="00B71EF8"/>
    <w:rsid w:val="00B726C5"/>
    <w:rsid w:val="00B73333"/>
    <w:rsid w:val="00B735B0"/>
    <w:rsid w:val="00B74543"/>
    <w:rsid w:val="00B807CA"/>
    <w:rsid w:val="00B84085"/>
    <w:rsid w:val="00B84B9E"/>
    <w:rsid w:val="00B90D5E"/>
    <w:rsid w:val="00B91619"/>
    <w:rsid w:val="00B92F83"/>
    <w:rsid w:val="00B94F05"/>
    <w:rsid w:val="00BA070E"/>
    <w:rsid w:val="00BA0EEF"/>
    <w:rsid w:val="00BA23D8"/>
    <w:rsid w:val="00BA3CB6"/>
    <w:rsid w:val="00BA67D5"/>
    <w:rsid w:val="00BA7F57"/>
    <w:rsid w:val="00BB3626"/>
    <w:rsid w:val="00BB7186"/>
    <w:rsid w:val="00BB79D5"/>
    <w:rsid w:val="00BC2C6D"/>
    <w:rsid w:val="00BC2F9B"/>
    <w:rsid w:val="00BC4AB5"/>
    <w:rsid w:val="00BD14FD"/>
    <w:rsid w:val="00BD48FA"/>
    <w:rsid w:val="00BE07C2"/>
    <w:rsid w:val="00BE1560"/>
    <w:rsid w:val="00BE6B4A"/>
    <w:rsid w:val="00BF5894"/>
    <w:rsid w:val="00BF6611"/>
    <w:rsid w:val="00BF7938"/>
    <w:rsid w:val="00BF7C3E"/>
    <w:rsid w:val="00C0044D"/>
    <w:rsid w:val="00C03688"/>
    <w:rsid w:val="00C047EC"/>
    <w:rsid w:val="00C07DB3"/>
    <w:rsid w:val="00C10C78"/>
    <w:rsid w:val="00C12194"/>
    <w:rsid w:val="00C15A61"/>
    <w:rsid w:val="00C207A2"/>
    <w:rsid w:val="00C24D3E"/>
    <w:rsid w:val="00C27A3F"/>
    <w:rsid w:val="00C31C1F"/>
    <w:rsid w:val="00C33C6B"/>
    <w:rsid w:val="00C35071"/>
    <w:rsid w:val="00C35798"/>
    <w:rsid w:val="00C3639A"/>
    <w:rsid w:val="00C36BDD"/>
    <w:rsid w:val="00C4004E"/>
    <w:rsid w:val="00C41202"/>
    <w:rsid w:val="00C4198D"/>
    <w:rsid w:val="00C41F3C"/>
    <w:rsid w:val="00C4571E"/>
    <w:rsid w:val="00C46CAA"/>
    <w:rsid w:val="00C4757E"/>
    <w:rsid w:val="00C50A5E"/>
    <w:rsid w:val="00C51AE5"/>
    <w:rsid w:val="00C53BAA"/>
    <w:rsid w:val="00C57BE6"/>
    <w:rsid w:val="00C6533C"/>
    <w:rsid w:val="00C65DE8"/>
    <w:rsid w:val="00C66354"/>
    <w:rsid w:val="00C6685D"/>
    <w:rsid w:val="00C671C5"/>
    <w:rsid w:val="00C71D58"/>
    <w:rsid w:val="00C72A8E"/>
    <w:rsid w:val="00C77B18"/>
    <w:rsid w:val="00C843DD"/>
    <w:rsid w:val="00C86637"/>
    <w:rsid w:val="00C90352"/>
    <w:rsid w:val="00C906E4"/>
    <w:rsid w:val="00C92667"/>
    <w:rsid w:val="00C965CD"/>
    <w:rsid w:val="00C97833"/>
    <w:rsid w:val="00CA344D"/>
    <w:rsid w:val="00CA35E7"/>
    <w:rsid w:val="00CB077A"/>
    <w:rsid w:val="00CB1C19"/>
    <w:rsid w:val="00CB5E88"/>
    <w:rsid w:val="00CC2BA7"/>
    <w:rsid w:val="00CC473E"/>
    <w:rsid w:val="00CC50A2"/>
    <w:rsid w:val="00CC5C2D"/>
    <w:rsid w:val="00CC6F08"/>
    <w:rsid w:val="00CD0BA7"/>
    <w:rsid w:val="00CD14F1"/>
    <w:rsid w:val="00CD1EEB"/>
    <w:rsid w:val="00CD1F08"/>
    <w:rsid w:val="00CD591E"/>
    <w:rsid w:val="00CD63D8"/>
    <w:rsid w:val="00CE2485"/>
    <w:rsid w:val="00CE2FBB"/>
    <w:rsid w:val="00CE7CCF"/>
    <w:rsid w:val="00CE7E8D"/>
    <w:rsid w:val="00CF006E"/>
    <w:rsid w:val="00CF70EA"/>
    <w:rsid w:val="00CF724B"/>
    <w:rsid w:val="00CF785D"/>
    <w:rsid w:val="00D0197B"/>
    <w:rsid w:val="00D02090"/>
    <w:rsid w:val="00D03347"/>
    <w:rsid w:val="00D07F7D"/>
    <w:rsid w:val="00D1052A"/>
    <w:rsid w:val="00D116D2"/>
    <w:rsid w:val="00D12207"/>
    <w:rsid w:val="00D124A7"/>
    <w:rsid w:val="00D146E9"/>
    <w:rsid w:val="00D16D69"/>
    <w:rsid w:val="00D1707C"/>
    <w:rsid w:val="00D2118C"/>
    <w:rsid w:val="00D236BF"/>
    <w:rsid w:val="00D25BC3"/>
    <w:rsid w:val="00D2634F"/>
    <w:rsid w:val="00D27E83"/>
    <w:rsid w:val="00D371FA"/>
    <w:rsid w:val="00D40501"/>
    <w:rsid w:val="00D40BA9"/>
    <w:rsid w:val="00D425FD"/>
    <w:rsid w:val="00D46B00"/>
    <w:rsid w:val="00D501CD"/>
    <w:rsid w:val="00D52999"/>
    <w:rsid w:val="00D532AF"/>
    <w:rsid w:val="00D55D5A"/>
    <w:rsid w:val="00D616C5"/>
    <w:rsid w:val="00D65AD9"/>
    <w:rsid w:val="00D72512"/>
    <w:rsid w:val="00D74545"/>
    <w:rsid w:val="00D76142"/>
    <w:rsid w:val="00D762C2"/>
    <w:rsid w:val="00D8047B"/>
    <w:rsid w:val="00D80C7C"/>
    <w:rsid w:val="00D824FD"/>
    <w:rsid w:val="00D85533"/>
    <w:rsid w:val="00D857DD"/>
    <w:rsid w:val="00D8790D"/>
    <w:rsid w:val="00D92279"/>
    <w:rsid w:val="00D935E6"/>
    <w:rsid w:val="00D952A3"/>
    <w:rsid w:val="00DA147C"/>
    <w:rsid w:val="00DA16DA"/>
    <w:rsid w:val="00DA49A4"/>
    <w:rsid w:val="00DB16BE"/>
    <w:rsid w:val="00DB2348"/>
    <w:rsid w:val="00DB2436"/>
    <w:rsid w:val="00DB2FEB"/>
    <w:rsid w:val="00DB641F"/>
    <w:rsid w:val="00DC4FDF"/>
    <w:rsid w:val="00DC7E55"/>
    <w:rsid w:val="00DD202D"/>
    <w:rsid w:val="00DD2B2E"/>
    <w:rsid w:val="00DD69E0"/>
    <w:rsid w:val="00DD71A7"/>
    <w:rsid w:val="00DD789B"/>
    <w:rsid w:val="00DE0E49"/>
    <w:rsid w:val="00DE15BE"/>
    <w:rsid w:val="00DE4F58"/>
    <w:rsid w:val="00DE5485"/>
    <w:rsid w:val="00DF23A8"/>
    <w:rsid w:val="00DF26B7"/>
    <w:rsid w:val="00DF2923"/>
    <w:rsid w:val="00DF2D1E"/>
    <w:rsid w:val="00DF42DD"/>
    <w:rsid w:val="00DF496D"/>
    <w:rsid w:val="00DF5A1A"/>
    <w:rsid w:val="00DF6121"/>
    <w:rsid w:val="00DF632C"/>
    <w:rsid w:val="00DF7B19"/>
    <w:rsid w:val="00DF7D44"/>
    <w:rsid w:val="00E02EFA"/>
    <w:rsid w:val="00E035CC"/>
    <w:rsid w:val="00E039EA"/>
    <w:rsid w:val="00E03F72"/>
    <w:rsid w:val="00E042FF"/>
    <w:rsid w:val="00E14EF9"/>
    <w:rsid w:val="00E1660C"/>
    <w:rsid w:val="00E177B4"/>
    <w:rsid w:val="00E20FFD"/>
    <w:rsid w:val="00E25DA8"/>
    <w:rsid w:val="00E26B30"/>
    <w:rsid w:val="00E3078F"/>
    <w:rsid w:val="00E31B9D"/>
    <w:rsid w:val="00E32D72"/>
    <w:rsid w:val="00E36F1B"/>
    <w:rsid w:val="00E403A2"/>
    <w:rsid w:val="00E40C8D"/>
    <w:rsid w:val="00E4259E"/>
    <w:rsid w:val="00E42870"/>
    <w:rsid w:val="00E42886"/>
    <w:rsid w:val="00E44507"/>
    <w:rsid w:val="00E4657A"/>
    <w:rsid w:val="00E50DE9"/>
    <w:rsid w:val="00E529DE"/>
    <w:rsid w:val="00E53ED6"/>
    <w:rsid w:val="00E5501F"/>
    <w:rsid w:val="00E55272"/>
    <w:rsid w:val="00E558BD"/>
    <w:rsid w:val="00E573EA"/>
    <w:rsid w:val="00E57826"/>
    <w:rsid w:val="00E61E32"/>
    <w:rsid w:val="00E627C5"/>
    <w:rsid w:val="00E627FE"/>
    <w:rsid w:val="00E643ED"/>
    <w:rsid w:val="00E71310"/>
    <w:rsid w:val="00E72CCD"/>
    <w:rsid w:val="00E74F61"/>
    <w:rsid w:val="00E76F69"/>
    <w:rsid w:val="00E808CF"/>
    <w:rsid w:val="00E81542"/>
    <w:rsid w:val="00E828A7"/>
    <w:rsid w:val="00E845AB"/>
    <w:rsid w:val="00E84825"/>
    <w:rsid w:val="00E85E39"/>
    <w:rsid w:val="00E861BD"/>
    <w:rsid w:val="00E863C0"/>
    <w:rsid w:val="00E87F95"/>
    <w:rsid w:val="00E96ABD"/>
    <w:rsid w:val="00EA0844"/>
    <w:rsid w:val="00EA22CD"/>
    <w:rsid w:val="00EA446B"/>
    <w:rsid w:val="00EA7B46"/>
    <w:rsid w:val="00EA7BB3"/>
    <w:rsid w:val="00EB0B97"/>
    <w:rsid w:val="00EB1925"/>
    <w:rsid w:val="00EB45E5"/>
    <w:rsid w:val="00EB497C"/>
    <w:rsid w:val="00EB6B30"/>
    <w:rsid w:val="00EC0EC1"/>
    <w:rsid w:val="00EC32F5"/>
    <w:rsid w:val="00EC345C"/>
    <w:rsid w:val="00EC5280"/>
    <w:rsid w:val="00EC56D9"/>
    <w:rsid w:val="00EC5FFE"/>
    <w:rsid w:val="00ED1AC1"/>
    <w:rsid w:val="00ED6AEA"/>
    <w:rsid w:val="00EE0961"/>
    <w:rsid w:val="00EE0CA5"/>
    <w:rsid w:val="00EE2ADC"/>
    <w:rsid w:val="00EE73CA"/>
    <w:rsid w:val="00EF2B93"/>
    <w:rsid w:val="00EF580A"/>
    <w:rsid w:val="00EF6799"/>
    <w:rsid w:val="00F018B1"/>
    <w:rsid w:val="00F02B79"/>
    <w:rsid w:val="00F03594"/>
    <w:rsid w:val="00F04123"/>
    <w:rsid w:val="00F14605"/>
    <w:rsid w:val="00F158E6"/>
    <w:rsid w:val="00F16FB0"/>
    <w:rsid w:val="00F17095"/>
    <w:rsid w:val="00F17861"/>
    <w:rsid w:val="00F217F5"/>
    <w:rsid w:val="00F31751"/>
    <w:rsid w:val="00F33183"/>
    <w:rsid w:val="00F35558"/>
    <w:rsid w:val="00F36E97"/>
    <w:rsid w:val="00F3722F"/>
    <w:rsid w:val="00F37DCA"/>
    <w:rsid w:val="00F4095B"/>
    <w:rsid w:val="00F41E45"/>
    <w:rsid w:val="00F45EFA"/>
    <w:rsid w:val="00F50ED5"/>
    <w:rsid w:val="00F51A65"/>
    <w:rsid w:val="00F51EDA"/>
    <w:rsid w:val="00F526BF"/>
    <w:rsid w:val="00F5420F"/>
    <w:rsid w:val="00F5556B"/>
    <w:rsid w:val="00F57405"/>
    <w:rsid w:val="00F61FE2"/>
    <w:rsid w:val="00F63485"/>
    <w:rsid w:val="00F63F48"/>
    <w:rsid w:val="00F66DDF"/>
    <w:rsid w:val="00F66E0B"/>
    <w:rsid w:val="00F733A9"/>
    <w:rsid w:val="00F73D8F"/>
    <w:rsid w:val="00F75BB4"/>
    <w:rsid w:val="00F764B5"/>
    <w:rsid w:val="00F769B7"/>
    <w:rsid w:val="00F82907"/>
    <w:rsid w:val="00F84F8C"/>
    <w:rsid w:val="00F906D5"/>
    <w:rsid w:val="00F908D9"/>
    <w:rsid w:val="00F912F5"/>
    <w:rsid w:val="00F925C8"/>
    <w:rsid w:val="00F93B1D"/>
    <w:rsid w:val="00F95D01"/>
    <w:rsid w:val="00FA15C4"/>
    <w:rsid w:val="00FA37C9"/>
    <w:rsid w:val="00FA7EAB"/>
    <w:rsid w:val="00FB1ADA"/>
    <w:rsid w:val="00FB2D57"/>
    <w:rsid w:val="00FB4D94"/>
    <w:rsid w:val="00FB6E62"/>
    <w:rsid w:val="00FC50F3"/>
    <w:rsid w:val="00FC5AE6"/>
    <w:rsid w:val="00FD0A3D"/>
    <w:rsid w:val="00FD1673"/>
    <w:rsid w:val="00FD7ACA"/>
    <w:rsid w:val="00FE199E"/>
    <w:rsid w:val="00FE355D"/>
    <w:rsid w:val="00FE40C2"/>
    <w:rsid w:val="00FF091E"/>
    <w:rsid w:val="00FF24F0"/>
    <w:rsid w:val="00FF4BF0"/>
    <w:rsid w:val="00FF5025"/>
    <w:rsid w:val="015239DA"/>
    <w:rsid w:val="01EB2D5D"/>
    <w:rsid w:val="025C315B"/>
    <w:rsid w:val="076A46C8"/>
    <w:rsid w:val="08762705"/>
    <w:rsid w:val="0D0A4308"/>
    <w:rsid w:val="0EA21BDD"/>
    <w:rsid w:val="0FE16FFE"/>
    <w:rsid w:val="1E7038B0"/>
    <w:rsid w:val="20BB22D8"/>
    <w:rsid w:val="26C65D22"/>
    <w:rsid w:val="3B3853E6"/>
    <w:rsid w:val="436472E0"/>
    <w:rsid w:val="45516FC2"/>
    <w:rsid w:val="4B72728A"/>
    <w:rsid w:val="56A0017C"/>
    <w:rsid w:val="5CDC7EFE"/>
    <w:rsid w:val="5CE934CC"/>
    <w:rsid w:val="69F6433F"/>
    <w:rsid w:val="6AEC5B1B"/>
    <w:rsid w:val="726147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qFormat="1" w:unhideWhenUsed="0" w:uiPriority="0" w:semiHidden="0"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宋体" w:cstheme="minorBidi"/>
      <w:kern w:val="2"/>
      <w:sz w:val="24"/>
      <w:szCs w:val="22"/>
      <w:lang w:val="en-US" w:eastAsia="zh-CN" w:bidi="ar-SA"/>
    </w:rPr>
  </w:style>
  <w:style w:type="paragraph" w:styleId="2">
    <w:name w:val="heading 1"/>
    <w:basedOn w:val="1"/>
    <w:next w:val="1"/>
    <w:link w:val="25"/>
    <w:qFormat/>
    <w:uiPriority w:val="9"/>
    <w:pPr>
      <w:keepNext/>
      <w:keepLines/>
      <w:numPr>
        <w:ilvl w:val="0"/>
        <w:numId w:val="1"/>
      </w:numPr>
      <w:spacing w:before="120" w:after="120"/>
      <w:ind w:firstLine="0" w:firstLineChars="0"/>
      <w:outlineLvl w:val="0"/>
    </w:pPr>
    <w:rPr>
      <w:b/>
      <w:bCs/>
      <w:kern w:val="44"/>
      <w:sz w:val="36"/>
      <w:szCs w:val="44"/>
    </w:rPr>
  </w:style>
  <w:style w:type="paragraph" w:styleId="3">
    <w:name w:val="heading 2"/>
    <w:basedOn w:val="1"/>
    <w:next w:val="1"/>
    <w:link w:val="26"/>
    <w:unhideWhenUsed/>
    <w:qFormat/>
    <w:uiPriority w:val="9"/>
    <w:pPr>
      <w:keepNext/>
      <w:keepLines/>
      <w:numPr>
        <w:ilvl w:val="1"/>
        <w:numId w:val="1"/>
      </w:numPr>
      <w:spacing w:before="120" w:after="120"/>
      <w:ind w:firstLine="0" w:firstLineChars="0"/>
      <w:outlineLvl w:val="1"/>
    </w:pPr>
    <w:rPr>
      <w:rFonts w:cstheme="majorBidi"/>
      <w:b/>
      <w:bCs/>
      <w:sz w:val="32"/>
      <w:szCs w:val="32"/>
    </w:rPr>
  </w:style>
  <w:style w:type="paragraph" w:styleId="4">
    <w:name w:val="heading 3"/>
    <w:basedOn w:val="1"/>
    <w:next w:val="1"/>
    <w:link w:val="27"/>
    <w:unhideWhenUsed/>
    <w:qFormat/>
    <w:uiPriority w:val="9"/>
    <w:pPr>
      <w:keepNext/>
      <w:keepLines/>
      <w:numPr>
        <w:ilvl w:val="2"/>
        <w:numId w:val="1"/>
      </w:numPr>
      <w:spacing w:before="60" w:after="60"/>
      <w:ind w:left="0" w:firstLine="0" w:firstLineChars="0"/>
      <w:outlineLvl w:val="2"/>
    </w:pPr>
    <w:rPr>
      <w:b/>
      <w:bCs/>
      <w:sz w:val="28"/>
      <w:szCs w:val="32"/>
    </w:rPr>
  </w:style>
  <w:style w:type="character" w:default="1" w:styleId="19">
    <w:name w:val="Default Paragraph Font"/>
    <w:semiHidden/>
    <w:unhideWhenUsed/>
    <w:qFormat/>
    <w:uiPriority w:val="1"/>
  </w:style>
  <w:style w:type="table" w:default="1" w:styleId="22">
    <w:name w:val="Normal Table"/>
    <w:semiHidden/>
    <w:unhideWhenUsed/>
    <w:qFormat/>
    <w:uiPriority w:val="99"/>
    <w:tblPr>
      <w:tblLayout w:type="fixed"/>
      <w:tblCellMar>
        <w:top w:w="0" w:type="dxa"/>
        <w:left w:w="108" w:type="dxa"/>
        <w:bottom w:w="0" w:type="dxa"/>
        <w:right w:w="108" w:type="dxa"/>
      </w:tblCellMar>
    </w:tblPr>
  </w:style>
  <w:style w:type="paragraph" w:styleId="5">
    <w:name w:val="Normal Indent"/>
    <w:basedOn w:val="1"/>
    <w:qFormat/>
    <w:uiPriority w:val="0"/>
    <w:pPr>
      <w:spacing w:line="240" w:lineRule="auto"/>
      <w:ind w:firstLine="420"/>
    </w:pPr>
    <w:rPr>
      <w:rFonts w:cs="Times New Roman"/>
      <w:kern w:val="0"/>
      <w:sz w:val="20"/>
      <w:szCs w:val="24"/>
    </w:rPr>
  </w:style>
  <w:style w:type="paragraph" w:styleId="6">
    <w:name w:val="caption"/>
    <w:basedOn w:val="1"/>
    <w:next w:val="1"/>
    <w:unhideWhenUsed/>
    <w:qFormat/>
    <w:uiPriority w:val="35"/>
    <w:rPr>
      <w:rFonts w:eastAsia="黑体" w:asciiTheme="majorHAnsi" w:hAnsiTheme="majorHAnsi" w:cstheme="majorBidi"/>
      <w:sz w:val="20"/>
      <w:szCs w:val="20"/>
    </w:rPr>
  </w:style>
  <w:style w:type="paragraph" w:styleId="7">
    <w:name w:val="annotation text"/>
    <w:basedOn w:val="1"/>
    <w:link w:val="41"/>
    <w:unhideWhenUsed/>
    <w:qFormat/>
    <w:uiPriority w:val="99"/>
    <w:pPr>
      <w:jc w:val="left"/>
    </w:pPr>
  </w:style>
  <w:style w:type="paragraph" w:styleId="8">
    <w:name w:val="Body Text"/>
    <w:basedOn w:val="1"/>
    <w:link w:val="60"/>
    <w:semiHidden/>
    <w:unhideWhenUsed/>
    <w:qFormat/>
    <w:uiPriority w:val="99"/>
    <w:pPr>
      <w:spacing w:after="120"/>
    </w:pPr>
  </w:style>
  <w:style w:type="paragraph" w:styleId="9">
    <w:name w:val="toc 3"/>
    <w:basedOn w:val="1"/>
    <w:next w:val="1"/>
    <w:unhideWhenUsed/>
    <w:qFormat/>
    <w:uiPriority w:val="39"/>
    <w:pPr>
      <w:ind w:left="840" w:leftChars="400"/>
    </w:pPr>
  </w:style>
  <w:style w:type="paragraph" w:styleId="10">
    <w:name w:val="Balloon Text"/>
    <w:basedOn w:val="1"/>
    <w:link w:val="40"/>
    <w:semiHidden/>
    <w:unhideWhenUsed/>
    <w:qFormat/>
    <w:uiPriority w:val="99"/>
    <w:pPr>
      <w:spacing w:line="240" w:lineRule="auto"/>
    </w:pPr>
    <w:rPr>
      <w:sz w:val="18"/>
      <w:szCs w:val="18"/>
    </w:rPr>
  </w:style>
  <w:style w:type="paragraph" w:styleId="11">
    <w:name w:val="footer"/>
    <w:basedOn w:val="1"/>
    <w:link w:val="29"/>
    <w:unhideWhenUsed/>
    <w:qFormat/>
    <w:uiPriority w:val="99"/>
    <w:pPr>
      <w:tabs>
        <w:tab w:val="center" w:pos="4153"/>
        <w:tab w:val="right" w:pos="8306"/>
      </w:tabs>
      <w:snapToGrid w:val="0"/>
      <w:spacing w:line="240" w:lineRule="auto"/>
      <w:jc w:val="left"/>
    </w:pPr>
    <w:rPr>
      <w:sz w:val="18"/>
      <w:szCs w:val="18"/>
    </w:rPr>
  </w:style>
  <w:style w:type="paragraph" w:styleId="12">
    <w:name w:val="header"/>
    <w:basedOn w:val="1"/>
    <w:link w:val="28"/>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13">
    <w:name w:val="toc 1"/>
    <w:basedOn w:val="1"/>
    <w:next w:val="1"/>
    <w:unhideWhenUsed/>
    <w:qFormat/>
    <w:uiPriority w:val="39"/>
  </w:style>
  <w:style w:type="paragraph" w:styleId="14">
    <w:name w:val="Subtitle"/>
    <w:basedOn w:val="1"/>
    <w:next w:val="1"/>
    <w:link w:val="30"/>
    <w:qFormat/>
    <w:uiPriority w:val="11"/>
    <w:pPr>
      <w:ind w:firstLine="0" w:firstLineChars="0"/>
      <w:outlineLvl w:val="1"/>
    </w:pPr>
    <w:rPr>
      <w:rFonts w:ascii="Calibri" w:hAnsi="Calibri"/>
      <w:b/>
      <w:bCs/>
      <w:kern w:val="28"/>
      <w:sz w:val="30"/>
      <w:szCs w:val="32"/>
    </w:rPr>
  </w:style>
  <w:style w:type="paragraph" w:styleId="15">
    <w:name w:val="toc 2"/>
    <w:basedOn w:val="1"/>
    <w:next w:val="1"/>
    <w:unhideWhenUsed/>
    <w:qFormat/>
    <w:uiPriority w:val="39"/>
    <w:pPr>
      <w:ind w:left="420" w:leftChars="200"/>
    </w:pPr>
  </w:style>
  <w:style w:type="paragraph" w:styleId="16">
    <w:name w:val="Body Text 2"/>
    <w:basedOn w:val="1"/>
    <w:link w:val="49"/>
    <w:qFormat/>
    <w:uiPriority w:val="0"/>
    <w:pPr>
      <w:spacing w:after="120" w:line="480" w:lineRule="auto"/>
      <w:ind w:firstLine="0" w:firstLineChars="0"/>
    </w:pPr>
    <w:rPr>
      <w:rFonts w:cs="Times New Roman"/>
      <w:sz w:val="21"/>
      <w:szCs w:val="24"/>
    </w:rPr>
  </w:style>
  <w:style w:type="paragraph" w:styleId="17">
    <w:name w:val="Normal (Web)"/>
    <w:basedOn w:val="1"/>
    <w:link w:val="55"/>
    <w:qFormat/>
    <w:uiPriority w:val="0"/>
    <w:pPr>
      <w:widowControl/>
      <w:spacing w:before="100" w:beforeAutospacing="1" w:after="100" w:afterAutospacing="1" w:line="240" w:lineRule="auto"/>
      <w:ind w:firstLine="0" w:firstLineChars="0"/>
      <w:jc w:val="left"/>
    </w:pPr>
    <w:rPr>
      <w:rFonts w:ascii="宋体" w:hAnsi="宋体" w:cs="Times New Roman"/>
      <w:kern w:val="0"/>
      <w:szCs w:val="20"/>
    </w:rPr>
  </w:style>
  <w:style w:type="paragraph" w:styleId="18">
    <w:name w:val="Title"/>
    <w:basedOn w:val="1"/>
    <w:next w:val="1"/>
    <w:link w:val="24"/>
    <w:qFormat/>
    <w:uiPriority w:val="10"/>
    <w:pPr>
      <w:spacing w:before="960" w:after="240" w:line="720" w:lineRule="auto"/>
      <w:ind w:firstLine="0" w:firstLineChars="0"/>
      <w:jc w:val="center"/>
      <w:outlineLvl w:val="0"/>
    </w:pPr>
    <w:rPr>
      <w:rFonts w:ascii="Calibri" w:hAnsi="Calibri" w:cstheme="majorBidi"/>
      <w:b/>
      <w:bCs/>
      <w:sz w:val="48"/>
      <w:szCs w:val="32"/>
    </w:rPr>
  </w:style>
  <w:style w:type="character" w:styleId="20">
    <w:name w:val="Hyperlink"/>
    <w:basedOn w:val="19"/>
    <w:unhideWhenUsed/>
    <w:qFormat/>
    <w:uiPriority w:val="99"/>
    <w:rPr>
      <w:color w:val="0563C1" w:themeColor="hyperlink"/>
      <w:u w:val="single"/>
      <w14:textFill>
        <w14:solidFill>
          <w14:schemeClr w14:val="hlink"/>
        </w14:solidFill>
      </w14:textFill>
    </w:rPr>
  </w:style>
  <w:style w:type="character" w:styleId="21">
    <w:name w:val="annotation reference"/>
    <w:basedOn w:val="19"/>
    <w:semiHidden/>
    <w:unhideWhenUsed/>
    <w:qFormat/>
    <w:uiPriority w:val="99"/>
    <w:rPr>
      <w:sz w:val="21"/>
      <w:szCs w:val="21"/>
    </w:rPr>
  </w:style>
  <w:style w:type="table" w:styleId="23">
    <w:name w:val="Table Grid"/>
    <w:basedOn w:val="2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24">
    <w:name w:val="标题 字符"/>
    <w:basedOn w:val="19"/>
    <w:link w:val="18"/>
    <w:qFormat/>
    <w:uiPriority w:val="10"/>
    <w:rPr>
      <w:rFonts w:ascii="Calibri" w:hAnsi="Calibri" w:eastAsia="宋体" w:cstheme="majorBidi"/>
      <w:b/>
      <w:bCs/>
      <w:sz w:val="48"/>
      <w:szCs w:val="32"/>
    </w:rPr>
  </w:style>
  <w:style w:type="character" w:customStyle="1" w:styleId="25">
    <w:name w:val="标题 1 字符"/>
    <w:basedOn w:val="19"/>
    <w:link w:val="2"/>
    <w:qFormat/>
    <w:uiPriority w:val="9"/>
    <w:rPr>
      <w:rFonts w:ascii="Times New Roman" w:hAnsi="Times New Roman" w:eastAsia="宋体"/>
      <w:b/>
      <w:bCs/>
      <w:kern w:val="44"/>
      <w:sz w:val="36"/>
      <w:szCs w:val="44"/>
    </w:rPr>
  </w:style>
  <w:style w:type="character" w:customStyle="1" w:styleId="26">
    <w:name w:val="标题 2 字符"/>
    <w:basedOn w:val="19"/>
    <w:link w:val="3"/>
    <w:qFormat/>
    <w:uiPriority w:val="9"/>
    <w:rPr>
      <w:rFonts w:ascii="Times New Roman" w:hAnsi="Times New Roman" w:eastAsia="宋体" w:cstheme="majorBidi"/>
      <w:b/>
      <w:bCs/>
      <w:sz w:val="32"/>
      <w:szCs w:val="32"/>
    </w:rPr>
  </w:style>
  <w:style w:type="character" w:customStyle="1" w:styleId="27">
    <w:name w:val="标题 3 字符"/>
    <w:basedOn w:val="19"/>
    <w:link w:val="4"/>
    <w:qFormat/>
    <w:uiPriority w:val="9"/>
    <w:rPr>
      <w:rFonts w:ascii="Times New Roman" w:hAnsi="Times New Roman" w:eastAsia="宋体"/>
      <w:b/>
      <w:bCs/>
      <w:sz w:val="28"/>
      <w:szCs w:val="32"/>
    </w:rPr>
  </w:style>
  <w:style w:type="character" w:customStyle="1" w:styleId="28">
    <w:name w:val="页眉 字符"/>
    <w:basedOn w:val="19"/>
    <w:link w:val="12"/>
    <w:qFormat/>
    <w:uiPriority w:val="99"/>
    <w:rPr>
      <w:rFonts w:ascii="Times New Roman" w:hAnsi="Times New Roman" w:eastAsia="宋体"/>
      <w:sz w:val="18"/>
      <w:szCs w:val="18"/>
    </w:rPr>
  </w:style>
  <w:style w:type="character" w:customStyle="1" w:styleId="29">
    <w:name w:val="页脚 字符"/>
    <w:basedOn w:val="19"/>
    <w:link w:val="11"/>
    <w:qFormat/>
    <w:uiPriority w:val="99"/>
    <w:rPr>
      <w:rFonts w:ascii="Times New Roman" w:hAnsi="Times New Roman" w:eastAsia="宋体"/>
      <w:sz w:val="18"/>
      <w:szCs w:val="18"/>
    </w:rPr>
  </w:style>
  <w:style w:type="character" w:customStyle="1" w:styleId="30">
    <w:name w:val="副标题 字符"/>
    <w:basedOn w:val="19"/>
    <w:link w:val="14"/>
    <w:qFormat/>
    <w:uiPriority w:val="11"/>
    <w:rPr>
      <w:rFonts w:ascii="Calibri" w:hAnsi="Calibri" w:eastAsia="宋体"/>
      <w:b/>
      <w:bCs/>
      <w:kern w:val="28"/>
      <w:sz w:val="30"/>
      <w:szCs w:val="32"/>
    </w:rPr>
  </w:style>
  <w:style w:type="paragraph" w:customStyle="1" w:styleId="31">
    <w:name w:val="表格正文"/>
    <w:basedOn w:val="1"/>
    <w:link w:val="32"/>
    <w:qFormat/>
    <w:uiPriority w:val="0"/>
    <w:pPr>
      <w:spacing w:line="240" w:lineRule="auto"/>
      <w:ind w:firstLine="0" w:firstLineChars="0"/>
      <w:jc w:val="center"/>
    </w:pPr>
    <w:rPr>
      <w:sz w:val="21"/>
    </w:rPr>
  </w:style>
  <w:style w:type="character" w:customStyle="1" w:styleId="32">
    <w:name w:val="表格正文 字符"/>
    <w:basedOn w:val="19"/>
    <w:link w:val="31"/>
    <w:qFormat/>
    <w:uiPriority w:val="0"/>
    <w:rPr>
      <w:rFonts w:ascii="Times New Roman" w:hAnsi="Times New Roman" w:eastAsia="宋体"/>
    </w:rPr>
  </w:style>
  <w:style w:type="paragraph" w:customStyle="1" w:styleId="33">
    <w:name w:val="表格标题"/>
    <w:basedOn w:val="31"/>
    <w:link w:val="34"/>
    <w:qFormat/>
    <w:uiPriority w:val="0"/>
    <w:rPr>
      <w:b/>
    </w:rPr>
  </w:style>
  <w:style w:type="character" w:customStyle="1" w:styleId="34">
    <w:name w:val="表格标题 字符"/>
    <w:basedOn w:val="32"/>
    <w:link w:val="33"/>
    <w:qFormat/>
    <w:uiPriority w:val="0"/>
    <w:rPr>
      <w:rFonts w:ascii="Times New Roman" w:hAnsi="Times New Roman" w:eastAsia="宋体"/>
      <w:b/>
    </w:rPr>
  </w:style>
  <w:style w:type="paragraph" w:customStyle="1" w:styleId="35">
    <w:name w:val="图表标题"/>
    <w:basedOn w:val="1"/>
    <w:link w:val="36"/>
    <w:qFormat/>
    <w:uiPriority w:val="0"/>
    <w:pPr>
      <w:spacing w:line="240" w:lineRule="auto"/>
      <w:ind w:firstLine="0" w:firstLineChars="0"/>
      <w:jc w:val="center"/>
    </w:pPr>
    <w:rPr>
      <w:b/>
      <w:sz w:val="21"/>
    </w:rPr>
  </w:style>
  <w:style w:type="character" w:customStyle="1" w:styleId="36">
    <w:name w:val="图表标题 字符"/>
    <w:basedOn w:val="19"/>
    <w:link w:val="35"/>
    <w:qFormat/>
    <w:uiPriority w:val="0"/>
    <w:rPr>
      <w:rFonts w:ascii="Times New Roman" w:hAnsi="Times New Roman" w:eastAsia="宋体"/>
      <w:b/>
    </w:rPr>
  </w:style>
  <w:style w:type="paragraph" w:customStyle="1" w:styleId="37">
    <w:name w:val="TOC Heading"/>
    <w:basedOn w:val="2"/>
    <w:next w:val="1"/>
    <w:unhideWhenUsed/>
    <w:qFormat/>
    <w:uiPriority w:val="39"/>
    <w:pPr>
      <w:widowControl/>
      <w:numPr>
        <w:numId w:val="0"/>
      </w:numPr>
      <w:spacing w:before="240" w:after="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paragraph" w:customStyle="1" w:styleId="38">
    <w:name w:val="表格"/>
    <w:basedOn w:val="1"/>
    <w:qFormat/>
    <w:uiPriority w:val="0"/>
    <w:pPr>
      <w:autoSpaceDE w:val="0"/>
      <w:autoSpaceDN w:val="0"/>
      <w:adjustRightInd w:val="0"/>
      <w:snapToGrid w:val="0"/>
      <w:spacing w:line="240" w:lineRule="auto"/>
      <w:ind w:firstLine="0" w:firstLineChars="0"/>
      <w:jc w:val="center"/>
    </w:pPr>
    <w:rPr>
      <w:bCs/>
      <w:kern w:val="0"/>
      <w:sz w:val="21"/>
      <w:szCs w:val="21"/>
    </w:rPr>
  </w:style>
  <w:style w:type="paragraph" w:customStyle="1" w:styleId="39">
    <w:name w:val="表头"/>
    <w:basedOn w:val="38"/>
    <w:qFormat/>
    <w:uiPriority w:val="0"/>
    <w:rPr>
      <w:b/>
    </w:rPr>
  </w:style>
  <w:style w:type="character" w:customStyle="1" w:styleId="40">
    <w:name w:val="批注框文本 字符"/>
    <w:basedOn w:val="19"/>
    <w:link w:val="10"/>
    <w:semiHidden/>
    <w:qFormat/>
    <w:uiPriority w:val="99"/>
    <w:rPr>
      <w:rFonts w:ascii="Times New Roman" w:hAnsi="Times New Roman" w:eastAsia="宋体"/>
      <w:sz w:val="18"/>
      <w:szCs w:val="18"/>
    </w:rPr>
  </w:style>
  <w:style w:type="character" w:customStyle="1" w:styleId="41">
    <w:name w:val="批注文字 字符"/>
    <w:basedOn w:val="19"/>
    <w:link w:val="7"/>
    <w:qFormat/>
    <w:uiPriority w:val="99"/>
    <w:rPr>
      <w:rFonts w:ascii="Times New Roman" w:hAnsi="Times New Roman" w:eastAsia="宋体"/>
      <w:sz w:val="24"/>
    </w:rPr>
  </w:style>
  <w:style w:type="paragraph" w:customStyle="1" w:styleId="42">
    <w:name w:val="Default"/>
    <w:basedOn w:val="1"/>
    <w:next w:val="43"/>
    <w:link w:val="44"/>
    <w:qFormat/>
    <w:uiPriority w:val="99"/>
    <w:pPr>
      <w:autoSpaceDE w:val="0"/>
      <w:autoSpaceDN w:val="0"/>
      <w:adjustRightInd w:val="0"/>
      <w:spacing w:line="240" w:lineRule="auto"/>
      <w:ind w:firstLine="0" w:firstLineChars="0"/>
    </w:pPr>
    <w:rPr>
      <w:rFonts w:ascii="宋体" w:cs="宋体"/>
      <w:color w:val="000000"/>
      <w:szCs w:val="24"/>
    </w:rPr>
  </w:style>
  <w:style w:type="paragraph" w:customStyle="1" w:styleId="43">
    <w:name w:val="样式35"/>
    <w:basedOn w:val="1"/>
    <w:next w:val="1"/>
    <w:qFormat/>
    <w:uiPriority w:val="0"/>
    <w:pPr>
      <w:spacing w:line="312" w:lineRule="auto"/>
      <w:ind w:firstLine="567" w:firstLineChars="0"/>
    </w:pPr>
    <w:rPr>
      <w:rFonts w:ascii="宋体" w:cs="Times New Roman"/>
      <w:sz w:val="21"/>
      <w:szCs w:val="24"/>
    </w:rPr>
  </w:style>
  <w:style w:type="character" w:customStyle="1" w:styleId="44">
    <w:name w:val="Default Char"/>
    <w:link w:val="42"/>
    <w:qFormat/>
    <w:uiPriority w:val="99"/>
    <w:rPr>
      <w:rFonts w:ascii="宋体" w:hAnsi="Times New Roman" w:eastAsia="宋体" w:cs="宋体"/>
      <w:color w:val="000000"/>
      <w:sz w:val="24"/>
      <w:szCs w:val="24"/>
    </w:rPr>
  </w:style>
  <w:style w:type="table" w:customStyle="1" w:styleId="45">
    <w:name w:val="网格型1"/>
    <w:basedOn w:val="22"/>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46">
    <w:name w:val="正文（YHY-GDB)"/>
    <w:basedOn w:val="1"/>
    <w:qFormat/>
    <w:uiPriority w:val="0"/>
    <w:pPr>
      <w:widowControl/>
      <w:adjustRightInd w:val="0"/>
      <w:snapToGrid w:val="0"/>
    </w:pPr>
    <w:rPr>
      <w:rFonts w:ascii="Calibri" w:hAnsi="Calibri" w:cs="Times New Roman"/>
      <w:kern w:val="0"/>
    </w:rPr>
  </w:style>
  <w:style w:type="paragraph" w:customStyle="1" w:styleId="47">
    <w:name w:val="样式 表格 32 + 首行缩进:  2 字符"/>
    <w:basedOn w:val="1"/>
    <w:qFormat/>
    <w:uiPriority w:val="0"/>
    <w:pPr>
      <w:autoSpaceDE w:val="0"/>
      <w:autoSpaceDN w:val="0"/>
      <w:adjustRightInd w:val="0"/>
      <w:spacing w:line="0" w:lineRule="atLeast"/>
      <w:ind w:firstLine="0" w:firstLineChars="0"/>
      <w:jc w:val="center"/>
      <w:textAlignment w:val="baseline"/>
    </w:pPr>
    <w:rPr>
      <w:rFonts w:cs="宋体"/>
      <w:kern w:val="0"/>
      <w:sz w:val="21"/>
      <w:szCs w:val="21"/>
    </w:rPr>
  </w:style>
  <w:style w:type="paragraph" w:customStyle="1" w:styleId="48">
    <w:name w:val="mm表头"/>
    <w:basedOn w:val="1"/>
    <w:qFormat/>
    <w:uiPriority w:val="0"/>
    <w:pPr>
      <w:spacing w:line="480" w:lineRule="exact"/>
      <w:ind w:firstLine="0" w:firstLineChars="0"/>
      <w:jc w:val="center"/>
    </w:pPr>
    <w:rPr>
      <w:rFonts w:eastAsia="黑体" w:cs="宋体"/>
      <w:bCs/>
      <w:color w:val="000000"/>
      <w:szCs w:val="24"/>
    </w:rPr>
  </w:style>
  <w:style w:type="character" w:customStyle="1" w:styleId="49">
    <w:name w:val="正文文本 2 字符"/>
    <w:basedOn w:val="19"/>
    <w:link w:val="16"/>
    <w:qFormat/>
    <w:uiPriority w:val="0"/>
    <w:rPr>
      <w:rFonts w:ascii="Times New Roman" w:hAnsi="Times New Roman" w:eastAsia="宋体" w:cs="Times New Roman"/>
      <w:szCs w:val="24"/>
    </w:rPr>
  </w:style>
  <w:style w:type="paragraph" w:customStyle="1" w:styleId="50">
    <w:name w:val="表格内容"/>
    <w:basedOn w:val="1"/>
    <w:qFormat/>
    <w:uiPriority w:val="0"/>
    <w:pPr>
      <w:tabs>
        <w:tab w:val="left" w:pos="146"/>
      </w:tabs>
      <w:adjustRightInd w:val="0"/>
      <w:snapToGrid w:val="0"/>
      <w:spacing w:line="240" w:lineRule="auto"/>
      <w:ind w:firstLine="0" w:firstLineChars="0"/>
      <w:jc w:val="center"/>
    </w:pPr>
    <w:rPr>
      <w:rFonts w:cs="Times New Roman"/>
      <w:snapToGrid w:val="0"/>
      <w:kern w:val="21"/>
      <w:sz w:val="21"/>
      <w:szCs w:val="24"/>
    </w:rPr>
  </w:style>
  <w:style w:type="paragraph" w:styleId="51">
    <w:name w:val="List Paragraph"/>
    <w:basedOn w:val="1"/>
    <w:qFormat/>
    <w:uiPriority w:val="34"/>
    <w:pPr>
      <w:spacing w:line="240" w:lineRule="auto"/>
      <w:ind w:firstLine="420"/>
    </w:pPr>
    <w:rPr>
      <w:rFonts w:cs="Times New Roman"/>
      <w:sz w:val="21"/>
      <w:szCs w:val="24"/>
    </w:rPr>
  </w:style>
  <w:style w:type="character" w:customStyle="1" w:styleId="52">
    <w:name w:val="页脚 字符1"/>
    <w:qFormat/>
    <w:locked/>
    <w:uiPriority w:val="99"/>
    <w:rPr>
      <w:sz w:val="18"/>
    </w:rPr>
  </w:style>
  <w:style w:type="paragraph" w:customStyle="1" w:styleId="53">
    <w:name w:val="正文！"/>
    <w:basedOn w:val="1"/>
    <w:qFormat/>
    <w:uiPriority w:val="0"/>
    <w:rPr>
      <w:rFonts w:cs="Times New Roman"/>
      <w:szCs w:val="24"/>
    </w:rPr>
  </w:style>
  <w:style w:type="character" w:customStyle="1" w:styleId="54">
    <w:name w:val="Default 字符"/>
    <w:basedOn w:val="19"/>
    <w:qFormat/>
    <w:uiPriority w:val="99"/>
    <w:rPr>
      <w:rFonts w:ascii="宋体" w:hAnsi="宋体" w:cs="宋体"/>
      <w:color w:val="000000"/>
      <w:sz w:val="24"/>
      <w:szCs w:val="24"/>
    </w:rPr>
  </w:style>
  <w:style w:type="character" w:customStyle="1" w:styleId="55">
    <w:name w:val="普通(网站) 字符"/>
    <w:link w:val="17"/>
    <w:qFormat/>
    <w:locked/>
    <w:uiPriority w:val="0"/>
    <w:rPr>
      <w:rFonts w:ascii="宋体" w:hAnsi="宋体" w:eastAsia="宋体" w:cs="Times New Roman"/>
      <w:kern w:val="0"/>
      <w:sz w:val="24"/>
      <w:szCs w:val="20"/>
    </w:rPr>
  </w:style>
  <w:style w:type="paragraph" w:customStyle="1" w:styleId="56">
    <w:name w:val="图表文字"/>
    <w:basedOn w:val="1"/>
    <w:next w:val="1"/>
    <w:link w:val="57"/>
    <w:qFormat/>
    <w:uiPriority w:val="0"/>
    <w:pPr>
      <w:wordWrap w:val="0"/>
      <w:topLinePunct/>
      <w:adjustRightInd w:val="0"/>
      <w:snapToGrid w:val="0"/>
      <w:spacing w:line="0" w:lineRule="atLeast"/>
      <w:ind w:firstLine="0" w:firstLineChars="0"/>
      <w:jc w:val="center"/>
    </w:pPr>
    <w:rPr>
      <w:color w:val="000000" w:themeColor="text1"/>
      <w:kern w:val="44"/>
      <w:sz w:val="18"/>
      <w:szCs w:val="21"/>
      <w14:textFill>
        <w14:solidFill>
          <w14:schemeClr w14:val="tx1"/>
        </w14:solidFill>
      </w14:textFill>
    </w:rPr>
  </w:style>
  <w:style w:type="character" w:customStyle="1" w:styleId="57">
    <w:name w:val="图表文字 Char"/>
    <w:link w:val="56"/>
    <w:qFormat/>
    <w:uiPriority w:val="0"/>
    <w:rPr>
      <w:rFonts w:ascii="Times New Roman" w:hAnsi="Times New Roman" w:eastAsia="宋体"/>
      <w:color w:val="000000" w:themeColor="text1"/>
      <w:kern w:val="44"/>
      <w:sz w:val="18"/>
      <w:szCs w:val="21"/>
      <w14:textFill>
        <w14:solidFill>
          <w14:schemeClr w14:val="tx1"/>
        </w14:solidFill>
      </w14:textFill>
    </w:rPr>
  </w:style>
  <w:style w:type="paragraph" w:customStyle="1" w:styleId="58">
    <w:name w:val="表标题"/>
    <w:basedOn w:val="1"/>
    <w:next w:val="1"/>
    <w:qFormat/>
    <w:uiPriority w:val="0"/>
    <w:pPr>
      <w:widowControl/>
      <w:adjustRightInd w:val="0"/>
      <w:snapToGrid w:val="0"/>
      <w:spacing w:before="50" w:beforeLines="50" w:line="0" w:lineRule="atLeast"/>
      <w:ind w:firstLine="0" w:firstLineChars="0"/>
      <w:jc w:val="center"/>
    </w:pPr>
    <w:rPr>
      <w:rFonts w:hint="eastAsia"/>
      <w:b/>
      <w:color w:val="000000" w:themeColor="text1"/>
      <w:kern w:val="0"/>
      <w:sz w:val="21"/>
      <w:szCs w:val="21"/>
      <w14:textFill>
        <w14:solidFill>
          <w14:schemeClr w14:val="tx1"/>
        </w14:solidFill>
      </w14:textFill>
    </w:rPr>
  </w:style>
  <w:style w:type="paragraph" w:customStyle="1" w:styleId="59">
    <w:name w:val="图 标题"/>
    <w:qFormat/>
    <w:uiPriority w:val="0"/>
    <w:pPr>
      <w:widowControl w:val="0"/>
      <w:spacing w:line="360" w:lineRule="auto"/>
      <w:jc w:val="center"/>
    </w:pPr>
    <w:rPr>
      <w:rFonts w:ascii="Times New Roman" w:hAnsi="Times New Roman" w:eastAsia="宋体" w:cs="Times New Roman"/>
      <w:b/>
      <w:kern w:val="2"/>
      <w:sz w:val="21"/>
      <w:szCs w:val="22"/>
      <w:lang w:val="en-US" w:eastAsia="zh-CN" w:bidi="ar-SA"/>
    </w:rPr>
  </w:style>
  <w:style w:type="character" w:customStyle="1" w:styleId="60">
    <w:name w:val="正文文本 字符"/>
    <w:basedOn w:val="19"/>
    <w:link w:val="8"/>
    <w:semiHidden/>
    <w:qFormat/>
    <w:uiPriority w:val="99"/>
    <w:rPr>
      <w:rFonts w:ascii="Times New Roman" w:hAnsi="Times New Roman" w:eastAsia="宋体"/>
      <w:sz w:val="24"/>
    </w:rPr>
  </w:style>
  <w:style w:type="paragraph" w:customStyle="1" w:styleId="61">
    <w:name w:val="Table Paragraph"/>
    <w:basedOn w:val="1"/>
    <w:qFormat/>
    <w:uiPriority w:val="1"/>
    <w:pPr>
      <w:spacing w:line="240" w:lineRule="auto"/>
      <w:ind w:firstLine="0" w:firstLineChars="0"/>
      <w:jc w:val="center"/>
    </w:pPr>
    <w:rPr>
      <w:rFonts w:ascii="宋体" w:hAnsi="宋体" w:cs="宋体"/>
      <w:sz w:val="21"/>
      <w:szCs w:val="24"/>
      <w:lang w:val="zh-CN" w:bidi="zh-CN"/>
    </w:rPr>
  </w:style>
  <w:style w:type="paragraph" w:customStyle="1" w:styleId="62">
    <w:name w:val="p0"/>
    <w:basedOn w:val="1"/>
    <w:qFormat/>
    <w:uiPriority w:val="0"/>
    <w:pPr>
      <w:widowControl/>
      <w:spacing w:line="240" w:lineRule="auto"/>
      <w:ind w:firstLine="0" w:firstLineChars="0"/>
    </w:pPr>
    <w:rPr>
      <w:rFonts w:cs="Times New Roman"/>
      <w:kern w:val="0"/>
      <w:sz w:val="21"/>
      <w:szCs w:val="21"/>
    </w:rPr>
  </w:style>
  <w:style w:type="table" w:customStyle="1" w:styleId="63">
    <w:name w:val="网格型2"/>
    <w:basedOn w:val="22"/>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s>
</file>

<file path=word/_rels/document.xml.rels><?xml version="1.0" encoding="UTF-8" standalone="yes" ?><Relationships xmlns="http://schemas.openxmlformats.org/package/2006/relationships"><Relationship Id="rId9" Target="footer4.xml" Type="http://schemas.openxmlformats.org/officeDocument/2006/relationships/footer"/><Relationship Id="rId8" Target="footer3.xml" Type="http://schemas.openxmlformats.org/officeDocument/2006/relationships/footer"/><Relationship Id="rId7" Target="footer2.xml" Type="http://schemas.openxmlformats.org/officeDocument/2006/relationships/footer"/><Relationship Id="rId64" Target="fontTable.xml" Type="http://schemas.openxmlformats.org/officeDocument/2006/relationships/fontTable"/><Relationship Id="rId63" Target="../customXml/item2.xml" Type="http://schemas.openxmlformats.org/officeDocument/2006/relationships/customXml"/><Relationship Id="rId62" Target="numbering.xml" Type="http://schemas.openxmlformats.org/officeDocument/2006/relationships/numbering"/><Relationship Id="rId61" Target="../customXml/item1.xml" Type="http://schemas.openxmlformats.org/officeDocument/2006/relationships/customXml"/><Relationship Id="rId60" Target="media/image49.png" Type="http://schemas.openxmlformats.org/officeDocument/2006/relationships/image"/><Relationship Id="rId6" Target="footer1.xml" Type="http://schemas.openxmlformats.org/officeDocument/2006/relationships/footer"/><Relationship Id="rId59" Target="media/image48.jpeg" Type="http://schemas.openxmlformats.org/officeDocument/2006/relationships/image"/><Relationship Id="rId58" Target="media/image47.jpeg" Type="http://schemas.openxmlformats.org/officeDocument/2006/relationships/image"/><Relationship Id="rId57" Target="media/image46.jpeg" Type="http://schemas.openxmlformats.org/officeDocument/2006/relationships/image"/><Relationship Id="rId56" Target="media/image45.jpeg" Type="http://schemas.openxmlformats.org/officeDocument/2006/relationships/image"/><Relationship Id="rId55" Target="media/image44.jpeg" Type="http://schemas.openxmlformats.org/officeDocument/2006/relationships/image"/><Relationship Id="rId54" Target="media/image43.jpeg" Type="http://schemas.openxmlformats.org/officeDocument/2006/relationships/image"/><Relationship Id="rId53" Target="media/image42.jpeg" Type="http://schemas.openxmlformats.org/officeDocument/2006/relationships/image"/><Relationship Id="rId52" Target="media/image41.jpeg" Type="http://schemas.openxmlformats.org/officeDocument/2006/relationships/image"/><Relationship Id="rId51" Target="media/image40.jpeg" Type="http://schemas.openxmlformats.org/officeDocument/2006/relationships/image"/><Relationship Id="rId50" Target="media/image39.jpeg" Type="http://schemas.openxmlformats.org/officeDocument/2006/relationships/image"/><Relationship Id="rId5" Target="header3.xml" Type="http://schemas.openxmlformats.org/officeDocument/2006/relationships/header"/><Relationship Id="rId49" Target="media/image38.jpeg" Type="http://schemas.openxmlformats.org/officeDocument/2006/relationships/image"/><Relationship Id="rId48" Target="media/image37.jpeg" Type="http://schemas.openxmlformats.org/officeDocument/2006/relationships/image"/><Relationship Id="rId47" Target="media/image36.jpeg" Type="http://schemas.openxmlformats.org/officeDocument/2006/relationships/image"/><Relationship Id="rId46" Target="media/image35.jpeg" Type="http://schemas.openxmlformats.org/officeDocument/2006/relationships/image"/><Relationship Id="rId45" Target="media/image34.jpeg" Type="http://schemas.openxmlformats.org/officeDocument/2006/relationships/image"/><Relationship Id="rId44" Target="media/image33.jpeg" Type="http://schemas.openxmlformats.org/officeDocument/2006/relationships/image"/><Relationship Id="rId43" Target="media/image32.jpeg" Type="http://schemas.openxmlformats.org/officeDocument/2006/relationships/image"/><Relationship Id="rId42" Target="media/image31.jpeg" Type="http://schemas.openxmlformats.org/officeDocument/2006/relationships/image"/><Relationship Id="rId41" Target="media/image30.jpeg" Type="http://schemas.openxmlformats.org/officeDocument/2006/relationships/image"/><Relationship Id="rId40" Target="media/image29.jpeg" Type="http://schemas.openxmlformats.org/officeDocument/2006/relationships/image"/><Relationship Id="rId4" Target="header2.xml" Type="http://schemas.openxmlformats.org/officeDocument/2006/relationships/header"/><Relationship Id="rId39" Target="media/image28.jpeg" Type="http://schemas.openxmlformats.org/officeDocument/2006/relationships/image"/><Relationship Id="rId38" Target="media/image27.jpeg" Type="http://schemas.openxmlformats.org/officeDocument/2006/relationships/image"/><Relationship Id="rId37" Target="media/image26.jpeg" Type="http://schemas.openxmlformats.org/officeDocument/2006/relationships/image"/><Relationship Id="rId36" Target="media/image25.jpeg" Type="http://schemas.openxmlformats.org/officeDocument/2006/relationships/image"/><Relationship Id="rId35" Target="media/image24.jpeg" Type="http://schemas.openxmlformats.org/officeDocument/2006/relationships/image"/><Relationship Id="rId34" Target="media/image23.jpeg" Type="http://schemas.openxmlformats.org/officeDocument/2006/relationships/image"/><Relationship Id="rId33" Target="media/image22.jpeg" Type="http://schemas.openxmlformats.org/officeDocument/2006/relationships/image"/><Relationship Id="rId32" Target="media/image21.jpeg" Type="http://schemas.openxmlformats.org/officeDocument/2006/relationships/image"/><Relationship Id="rId31" Target="media/image20.jpeg" Type="http://schemas.openxmlformats.org/officeDocument/2006/relationships/image"/><Relationship Id="rId30" Target="media/image19.jpeg" Type="http://schemas.openxmlformats.org/officeDocument/2006/relationships/image"/><Relationship Id="rId3" Target="header1.xml" Type="http://schemas.openxmlformats.org/officeDocument/2006/relationships/header"/><Relationship Id="rId29" Target="media/image18.jpeg" Type="http://schemas.openxmlformats.org/officeDocument/2006/relationships/image"/><Relationship Id="rId28" Target="media/image17.jpeg" Type="http://schemas.openxmlformats.org/officeDocument/2006/relationships/image"/><Relationship Id="rId27" Target="media/image16.jpeg" Type="http://schemas.openxmlformats.org/officeDocument/2006/relationships/image"/><Relationship Id="rId26" Target="media/image15.jpeg" Type="http://schemas.openxmlformats.org/officeDocument/2006/relationships/image"/><Relationship Id="rId25" Target="media/image14.jpeg" Type="http://schemas.openxmlformats.org/officeDocument/2006/relationships/image"/><Relationship Id="rId24" Target="media/image13.jpeg" Type="http://schemas.openxmlformats.org/officeDocument/2006/relationships/image"/><Relationship Id="rId23" Target="media/image12.jpeg" Type="http://schemas.openxmlformats.org/officeDocument/2006/relationships/image"/><Relationship Id="rId22" Target="media/image11.jpeg" Type="http://schemas.openxmlformats.org/officeDocument/2006/relationships/image"/><Relationship Id="rId21" Target="media/image10.jpeg" Type="http://schemas.openxmlformats.org/officeDocument/2006/relationships/image"/><Relationship Id="rId20" Target="media/image9.emf" Type="http://schemas.openxmlformats.org/officeDocument/2006/relationships/image"/><Relationship Id="rId2" Target="settings.xml" Type="http://schemas.openxmlformats.org/officeDocument/2006/relationships/settings"/><Relationship Id="rId19" Target="media/image8.emf" Type="http://schemas.openxmlformats.org/officeDocument/2006/relationships/image"/><Relationship Id="rId18" Target="media/image7.emf" Type="http://schemas.openxmlformats.org/officeDocument/2006/relationships/image"/><Relationship Id="rId17" Target="media/image6.emf" Type="http://schemas.openxmlformats.org/officeDocument/2006/relationships/image"/><Relationship Id="rId16" Target="media/image5.jpeg" Type="http://schemas.openxmlformats.org/officeDocument/2006/relationships/image"/><Relationship Id="rId15" Target="media/image4.jpeg" Type="http://schemas.openxmlformats.org/officeDocument/2006/relationships/image"/><Relationship Id="rId14" Target="media/image3.jpeg" Type="http://schemas.openxmlformats.org/officeDocument/2006/relationships/image"/><Relationship Id="rId13" Target="media/image2.jpeg" Type="http://schemas.openxmlformats.org/officeDocument/2006/relationships/image"/><Relationship Id="rId12" Target="media/image1.jpeg" Type="http://schemas.openxmlformats.org/officeDocument/2006/relationships/image"/><Relationship Id="rId11" Target="theme/theme1.xml" Type="http://schemas.openxmlformats.org/officeDocument/2006/relationships/theme"/><Relationship Id="rId10" Target="footer5.xml" Type="http://schemas.openxmlformats.org/officeDocument/2006/relationships/footer"/><Relationship Id="rId1" Target="styles.xml" Type="http://schemas.openxmlformats.org/officeDocument/2006/relationships/styles"/></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C296827-83D1-40DB-B8BE-FBF6F61F5AA1}">
  <ds:schemaRefs/>
</ds:datastoreItem>
</file>

<file path=docProps/app.xml><?xml version="1.0" encoding="utf-8"?>
<Properties xmlns="http://schemas.openxmlformats.org/officeDocument/2006/extended-properties" xmlns:vt="http://schemas.openxmlformats.org/officeDocument/2006/docPropsVTypes">
  <Template>Normal.dotm</Template>
  <Pages>86</Pages>
  <Words>2892</Words>
  <Characters>3554</Characters>
  <Lines>252</Lines>
  <Paragraphs>71</Paragraphs>
  <TotalTime>0</TotalTime>
  <ScaleCrop>false</ScaleCrop>
  <LinksUpToDate>false</LinksUpToDate>
  <CharactersWithSpaces>3896</CharactersWithSpaces>
  <Application>WPS Office_10.1.0.7106_F1E327BC-269C-435d-A152-05C5408002CA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2023-12-05T02:31:00Z</dcterms:created>
  <dc:creator>Zchan</dc:creator>
  <cp:lastModifiedBy>Administrator</cp:lastModifiedBy>
  <cp:lastPrinted>2022-05-27T09:57:00Z</cp:lastPrinted>
  <dcterms:modified xsi:type="dcterms:W3CDTF">2025-06-04T15:01:32Z</dcterms:modified>
  <cp:revision>577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name="ICV" pid="2">
    <vt:lpwstr>FFDFCFC9E6F44BC2AA4F2454C74CF8C3_12</vt:lpwstr>
  </property>
  <property fmtid="{D5CDD505-2E9C-101B-9397-08002B2CF9AE}" name="KSOProductBuildVer" pid="3">
    <vt:lpwstr>2052-10.1.0.7106</vt:lpwstr>
  </property>
  <property fmtid="{D5CDD505-2E9C-101B-9397-08002B2CF9AE}" name="KSOTemplateDocerSaveRecord" pid="4">
    <vt:lpwstr>eyJoZGlkIjoiZDY0OGI2ZjgxMzkxM2NmYWQzZjI1ZGU3ZmI0MzUwYmUiLCJ1c2VySWQiOiIyNDI0OTAzMTQifQ==</vt:lpwstr>
  </property>
  <property fmtid="{D5CDD505-2E9C-101B-9397-08002B2CF9AE}" name="NXPowerLiteLastOptimized" pid="5">
    <vt:lpwstr>2888990</vt:lpwstr>
  </property>
  <property fmtid="{D5CDD505-2E9C-101B-9397-08002B2CF9AE}" name="NXPowerLiteSettings" pid="6">
    <vt:lpwstr>F7200358026400</vt:lpwstr>
  </property>
  <property fmtid="{D5CDD505-2E9C-101B-9397-08002B2CF9AE}" name="NXPowerLiteVersion" pid="7">
    <vt:lpwstr>D5.1.6</vt:lpwstr>
  </property>
</Properties>
</file>